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A/34/2001 vom 24. April 2001</w:t>
      </w:r>
    </w:p>
    <w:p>
      <w:r>
        <w:t>GE Cour de justice, 2001-04-24, FR</w:t>
      </w:r>
    </w:p>
    <w:p>
      <w:r>
        <w:rPr>
          <w:b/>
        </w:rPr>
        <w:t xml:space="preserve">Quelle: </w:t>
      </w:r>
      <w:r>
        <w:t>https://mcp.opencaselaw.ch/entscheid/ge_gerichte_A_34_2001</w:t>
      </w:r>
    </w:p>
    <w:p>
      <w:r>
        <w:t>FR: GE_GERICHTE A/34/2001 du 24 avril 2001</w:t>
      </w:r>
    </w:p>
    <w:p>
      <w:r>
        <w:t>IT: GE_GERICHTE A/34/2001 del 24 aprile 2001</w:t>
      </w:r>
    </w:p>
    <w:p>
      <w:pPr>
        <w:pStyle w:val="Heading2"/>
      </w:pPr>
      <w:r>
        <w:t>Regeste</w:t>
      </w:r>
    </w:p>
    <w:p>
      <w:r>
        <w:t>LCR</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À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Un dépassement de 21 à 24 km/h constitue un cas moyen impliquant en règle générale un retrait de permis au sens de l'article 16 alinéa 2 1ère phrase LCR;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124 II 97 consid. 2b et c pp. 100-102; ATA B. du 10 avril 2001).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 al. 3 litt. a et art. 90 ch. 2 LCR; ATF 123 II 106 , JdT 1997 I 725, consid. 2c, p. 731 et réf. cit.; ATF 123 II 37 , consid. 1d, pp. 40-41, SJ 1997 pp. 527-528;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w:t>
      </w:r>
    </w:p>
    <w:p>
      <w:r>
        <w:rPr>
          <w:b/>
        </w:rPr>
        <w:t>E. 3</w:t>
      </w:r>
    </w:p>
    <w:p>
      <w:r>
        <w:t>Le recourant conteste le caractère de localité de l'endroit où il a fait l'objet d'un contrôle de sa vitesse. a. La notion de localité est rarement abordée dans la jurisprudence publiée. Toutefois, le tribunal de céans a déjà eu l'occasion de trancher cette question en relation avec la route des Jeunes, empruntée par le recourant (ATA G. du 7 septembre 1999). Il a retenu la solution suivante : b. Selon un arrêt du Tribunal fédéral du 19 février 1971, "on ne peut pas parler de véritable localité lorsqu'il s'agit d'un endroit où il n'y a, de part et d'autre de la route, que quelques maisons espacées" (ATF 97 I 183 consid. 4 p. 190). Dans une espèce cantonale, l'absence de numéro postal de bureau de poste et d'inscription dans l'annuaire officiel des localités fait que les habitations certes situées des deux côtés de la route n'ont pas le caractère de "localité" (OW CE, 9 avril 1991 in JdT 706). Dans une autre décision du même jour, il a été retenu que la notion de localité supposait celle d'une infrastructure (école, église, poste, possibilité de faire des achats ou encore numéro postal; eodem loco, p. 705). Le tribunal de céans a reconnu le caractère de localité de quelques bâtiments sis au n° 79 et 80 de la route de Compois, entre la Pallanterie et Jussy, de même qu'il a considéré ultérieurement que la route de Ferney, sur le territoire de la commune du Grand-Saconnex, en direction de la France, faisait encore partie d'une localité (ATA L. du 14 septembre 2000; S. du 23 mars 1999, P. du 15 décembre 1998 et T. du 26 mai 1998). c. Si l'on compare la zone où a été pratiqué le contrôle de vitesse litigieux avec celles susdécrites, il faut retenir les éléments suivants : la route des Jeunes se situe dans une zone bâtie, des deux côtés de l'artère, les entreprises qui s'y trouvent disposent d'une adresse et donc d'un numéro postal. La présence d'une église et d'une école n'étant pas pertinente dans une zone industrielle, il faut noter encore que cette zone n'est pas fréquentée par de nombreuses personnes âgées ou enfants, mais qu'elle comporte de nombreux carrefours à niveaux.</w:t>
      </w:r>
    </w:p>
    <w:p>
      <w:r>
        <w:rPr>
          <w:b/>
        </w:rPr>
        <w:t>E. 4</w:t>
      </w:r>
    </w:p>
    <w:p>
      <w:r>
        <w:t>Selon l'article 4a alinéa 2 de l'ordonnance sur les règles de la circulation routière du 13 novembre 1962 (OCR - RS 741.11), la limitation de la vitesse dans les localités commence au signal "vitesse maximale 50, limite générale" et se termine au signal "fin de la vitesse maximale 50, limite générale" (cf. ATA S. précité). Sur les routes secondaires peu importantes, la limitation est aussi valable en l'absence de signalisation, dès qu'il existe une zone bâtie de façon compacte. Avec raison, le recourant ne prétend pas ne pas avoir vu l'écriteau signalant la fin de la vitesse maximale valable dans les localités. Il admet qu'un signal rétablissant la limitation générale à 50 km/h est posé le long de la route des Jeunes. Vu le caractère de localité au sens légal du terme de la zone et la limite de vitesse, il convient d'examiner la durée de la mesure de retrait infligée au recourant au regard de ses antécédents et des circonstances de l'espèce.</w:t>
      </w:r>
    </w:p>
    <w:p>
      <w:r>
        <w:rPr>
          <w:b/>
        </w:rPr>
        <w:t>E. 5</w:t>
      </w:r>
    </w:p>
    <w:p>
      <w:r>
        <w:t>Le recourant fait état de ses besoins professionnels, au motif qu'il est le chef d'une équipe de maçons. Selon la jurisprudence du Tribunal fédéral, le juge administratif doit examiner la situation professionnelle de l'intéressé et déterminer si la mesure dont il est susceptible de faire l'objet serait, compte tenu des besoins professionnels, particulièrement rigoureuse (ATF 123 II 572 consid. 2 c p. 575-576; ATA L. du 21 avril 1998, P. du 5 novembre 1996, confirmé par ATF du 28 février 1997 = SJ 1997 451). a. En effet,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RDAF 1981 p. 50; RDAF 1978 p. 288 et 1977 p. 210 et 354-355; Katherin Gruber, La notion d'utilité professionnelle en matière de retrait du permis de conduire, RDAF 1998 I 233 -251). b. Dans sa jurisprudence récente, le tribunal de céans a déjà estimé qu'un employé de régie, un courtier en immobilier ou en assurances, ou encore des personnes exerçant des professions comparables pouvaient sans autre recourir aux transports publics pour l'accomplissement de leurs tâches professionnelles (cf. not. ATA I. du 24 avril 2001; ATA B. du 10 décembre 1996; P. précité confirmé par ATF précité). il a encore jugé qu'une personne qui exerçait les activités de représentant en matériel de chauffage, de courtier en matière de publicité et de gérant d'un bar ne pouvait se prévaloir de besoins professionnels prépondérants (ATA P. du 14 septembre 2000). Un ingénieur informaticien, dont les clients se trouvaient soit dans le Jura, soit en zone urbaine ou périurbaine, ne pouvait se prévaloir de besoins professionnels déterminants, même s'il devait pendant la durée de la mesure de retrait diminuer le nombre de ses visites à la clientèle et par là le montant des commissions qu'il touchait (ATA U. du 27 mars 2001). c. Par contre, un réparateur dans le domaine des élévateurs électriques ou un boulanger dans une petite entreprise familiale peuvent se prévaloir de besoins professionnels importants (ATA C. du 23 octobre 1997, A. du 23 octobre 1997, B. du 22 avril 1997 et M. du 7 novembre 1995). S'agissant d'un réparateur de brûleurs à mazout, qui devait transporter du matériel, le Tribunal a estimé que si les besoins professionnels n'étaient pas déterminants au sens strict, ils étaient néanmoins importants (ATA A. du 23 octobre 1997). Dans l'affaire L. précitée concernant un mécanicien-électricien dépannant des ascenseurs, il n'a pas tranché expressément la question des besoins professionnels, car le complexe de faits ainsi que la pluralité des infractions commises justifiaient la sanction infligée, compte tenu également du large pouvoir d'appréciation reconnu à l'autorité intimée. Le Tribunal a encore considéré qu'un plâtrier ou un peintre en bâtiment, même s'ils devaient se déplacer au cours de la journée d'un chantier à un autre, voire y véhiculer ses collègues ou aller chercher du matériel occasionnellement, ne pouvaient se prévaloir de besoins professionnels déterminants au sens de la jurisprudence (ATA G. précité et C. du 23 octobre 1997). Il n'a pas non plus admis qu'un aide-monteur électricien effectuant de petits travaux chez des particuliers puisse se prévaloir de besoins professionnels déterminants (ATA G. du 9 janvier 2001). Le recourant ne peut donc se prévaloir de besoins professionnels déterminants au sens de la jurisprudence. Sa situation personnelle est sans particularité, même si ses revenus sont modestes. Compte tenu d'un précédent excès de vitesse en localité, qui avait été sanctionné d'un avertissement au mois de février 1997, de l'importance de celui commis le 7 octobre 2000, alors que le recourant avait déjà fait état de ses besoins professionnels dans la précédente procédure et qu'il était dès lors conscient des inconvénients que pourrait lui causer un retrait du permis de conduire, il n'y a aucun motif de revoir la décision prise par l'autorité intimée, même si celle-ci s'est écartée du minimum légal d'un mois. Le recours est donc rejeté.</w:t>
      </w:r>
    </w:p>
    <w:p>
      <w:r>
        <w:rPr>
          <w:b/>
        </w:rPr>
        <w:t>E. 6</w:t>
      </w:r>
    </w:p>
    <w:p>
      <w:r>
        <w:t>Le recourant, qui succombe, sera condamné aux frais de la procédure et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