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A/3499/2014 vom 12. September 2017</w:t>
      </w:r>
    </w:p>
    <w:p>
      <w:r>
        <w:t>GE Cour de justice, 2017-09-12, FR</w:t>
      </w:r>
    </w:p>
    <w:p>
      <w:r>
        <w:rPr>
          <w:b/>
        </w:rPr>
        <w:t xml:space="preserve">Quelle: </w:t>
      </w:r>
      <w:r>
        <w:t>https://mcp.opencaselaw.ch/entscheid/ge_gerichte_A_3499_2014</w:t>
      </w:r>
    </w:p>
    <w:p>
      <w:r>
        <w:t>FR: GE_GERICHTE A/3499/2014 du 12 septembre 2017</w:t>
      </w:r>
    </w:p>
    <w:p>
      <w:r>
        <w:t>IT: GE_GERICHTE A/3499/2014 del 12 settembre 2017</w:t>
      </w:r>
    </w:p>
    <w:p>
      <w:pPr>
        <w:pStyle w:val="Heading2"/>
      </w:pPr>
      <w:r>
        <w:t>Regeste</w:t>
      </w:r>
    </w:p>
    <w:p>
      <w:r>
        <w:t>AMÉNAGEMENT DU TERRITOIRE ; AUTORISATION DÉROGATOIRE(EN GÉNÉRAL) ; PLAN DIRECTEUR ; CHANGEMENT DE PRATIQUE ; ÉGALITÉ DE TRAITEMENT | Dérogation octroyée pour la construction en cinquième zone de de cinq villas conforme à un standard de haute performance énergétique. Cette décision du DALE est confirmée malgré l'adoption d'un plan directeur cantonal 2030, préconisant une densification par modification de zone. La modification de la pratique administrative du DALE qui en découle est postérieure à l'octroi de l'autorisation litigieuse. La chambre n'est pas compétente pour apprécier la décision du DALE quant aux circonstances justifiant ou non l'octroi d'une dérogation au sens de l'art. 59 al. 4 LCI, cet élément relevant du pouvoir en opportunité. Par ailleurs, le DALE était fondé à se fonder sur le préavis positif de la commission d'architecture suite à la production d'un projet modifié par les requérantes. La chambre n'est pas compétente s'agissant d'une violation éventuelle des droits des copropriétaires. | LAT.9 ; LAT.19 ; LAT.22 ; LAT.27 ; LaLAT.13B ; LaLAT.13C ; LCI.14 ; LCI.59.al1 ; LCI.59.al4 ; LPA.61.al2 ; CCS.647b</w:t>
      </w:r>
    </w:p>
    <w:p>
      <w:pPr>
        <w:pStyle w:val="Heading2"/>
      </w:pPr>
      <w:r>
        <w:t>Erwägungen</w:t>
      </w:r>
    </w:p>
    <w:p>
      <w:r>
        <w:rPr>
          <w:b/>
        </w:rPr>
        <w:t>E. 12</w:t>
      </w:r>
    </w:p>
    <w:p>
      <w:r>
        <w:t>septembre 1985 - LPA - E 5 10). 2)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Le litige porte sur la conformité au droit du jugement du TAPI confirmant la décision du DALE de délivrer une autorisation préalable de construire (DP 18'515-1) portant sur la création de cinq villas sur la parcelle n° 4'307. 4) Dans un premier grief, les recourants reprochent au TAPI d'avoir confirmé la décision du DALE, s'écartant du préavis défavorable du PDCR qui préconisait la mise en place d'un refus conservatoire sur la parcelle litigieuse, le projet contrevenant aux objectifs d'urbanisme fixés par le plan directeur cantonal (PDCn 2030 - densification de la cinquième zone). 5) Les demandes d'autorisation sont soumises, à titre consultatif, au préavis des communes, des départements et des organismes intéressés (art. 3 al. 3 LCI). L'autorité de décision n'est pas liée par ces préavis. Lorsqu'il ne suit pas le préavis communal, le département communique à la commune concernée les raisons pour lesquelles il s'est écarté de l'opinion émise (art. 16 al. 3 du règlement d'application de la loi sur les constructions et les installations diverses du 27 février 1978 - RCI - L 5 05.01).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ATA/318/2017 du 21 mars 2017 ; ATA/284/2016 du 5 avril 2016 ; ATA/51/2013 du 29 janvier 2013 et les références citées). 6) a. Conformément à l'art. 13B al. 2 de loi d'application de la loi fédérale sur l'aménagement du territoire du 4 juin 1987 (LaLAT - L 1 30), entré en vigueur le 29 mai 2004,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(art. 13B al. 2 LaLAT ; ATA/590/2017 du 23 mai 2017). b.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1979 (LAT - RS 700 ; ATA/590/2017 précité et les références citées ; ATA/208/2016 du 8 mars 2016). c. Dans sa jurisprudence, la chambre de céans a considéré qu'au terme de la période de conservation, le propriétaire « reprend la libre disposition de son terrain » selon les normes en vigueur, sans que l'autorisation qui a été refusée ne soit délivrée automatiquement ( ATA/590/2017 précité ; ATA/129/2010 du 2 mars 2010 ; RDAF 2011 I p. 14-15). d. L'art. 13B LaLAT accorde au département une grande marge d'appréciation que le juge ne peut revoir qu'en cas d'excès ou d'abus (art. 61 al. 2 LPA). 7) Le PDCn 2030 adopté le 20 septembre 2013 par le Grand Conseil genevois et approuvé par le Conseil fédéral le 29 avril 2015, prévoit la densification par modification des limites de zones de certains secteurs de la cinquième zone. Le plan directeur cantonal a force obligatoire pour les communes et le Conseil d'État, mais ne produit en revanche aucun effet direct à l'égard des particuliers (art. 9 al. 1 LAT ; arrêt du Tribunal fédéral 1C_423/2016 du 3 avril 2017 confirmant l' ATA/595/2016 du 12 juillet 2016). 8) a. Par motion 2'278 du 5 juin 2015 - ayant pour objet de préserver le potentiel de densification prévu par ce plan directeur -, le Grand Conseil a invité le Conseil d'État en particulier à (p. 1 et 2) : -          permettre l'adoption par le Conseil d'État de zones réservées dans la cinquième zone destinée à une densification, selon la fiche A03 du PDCn2030, pour lesquelles une MZ est prévue dans un délai de cinq ans ; -          faire une application restrictive de l'art. 59 al. 4 LCI afin de préserver le potentiel de densification prévu par la fiche A03 du PDCn 2030. b. Le 16 juin 2015, le règlement d'application de la loi d'application de la loi fédérale sur l'aménagement du territoire du 1 er juillet 1992 (RaLAT - L 1 30.01) a été modifié, s'agissant des zones réservées. L'art. 10 prévoit que,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zone réservée au sens de l'art. 27 LAT. À l'intérieur de celle-ci, rien ne doit être entrepris qui soit de nature à compromettre des objectifs d'urbanisme ou la réalisation d'équipements publics. À cet effet, le département peur refuser l'autorisation de construire sollicitée en vertu de l'art. 1 LCI. Si les circonstances le justifient, le Conseil d'État peut modifier ou abroger une zone réservée avant l'expiration du délai prévu à l'al. 1 ; la procédure est identique à celle prévue à l'al. 3 (al. 1, 2 et 4). c. En conséquence, le DALE a formalisé, le 1 er juillet 2015, sa pratique prévoyant, pour les requêtes portant sur la création de nouveaux logements, en particulier que (M 2'278-A, annexe, p. 5 du 1 er juillet 2015) : -                 la dérogation prévue à l'art. 59 al. 4 LCI ne serait pas appliquée ; les constructions respectant les autres dispositions de la LCI seraient autorisées normalement ; -                 lorsqu'une MZ serait en cours d'élaboration, un refus conservatoire selon l'art. 13B LaLAT serait prononcé. L'administration disposerait d'un délai de deux ans à compter du refus pour adopter une MZ ; -                 lorsqu'il serait prévu d'instaurer une zone réservée, un refus conservatoire selon l'art. 13B LaLAT serait prononcé dans l'immédiat sur toute requête créant un nouveau logement. Dès l'instauration de la zone réservée, l'administration disposerait d'un délai de cinq ans pour adopter une MZ. d. Le 28 octobre 2015, le DALE a également adopté un plan intitulé « programme de densification des quartiers de villas » prévoyant l'adoption de différentes zones réservées sur des parcelles situées en cinquième zone. e. Le 29 juillet 2017, l'art. 13C LaLAT, relatif aux zones réservées, est entré en vigueur. Selon l'art. 36 al. 5 LaLAT traitant des dispositions transitoires, le département supprime sans délai toute carte identifiant des zones réservées si celles-ci n'ont pas été adoptées selon la procédure visée à l'art. 13C al. 4 LaLAT. La pratique du 1 er juillet 2015 a été adaptée pour tenir compte de ces nouvelles dispositions. Concernant les requêtes portant sur la création d'un nouveau logement sur des parcelles pour lesquelles aucune MZ n'est en cours et aucune zone réservée adoptée, s'agissant des parcelles visées par le plan de densification, « il n'y a pas de dérogation possible selon l'art. 59 al. 4 LCI. Pour le reste, la LCI s'applique normalement ». 9)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138 ; ATA/653/2014 précité et les références citées). 10) a. En l'espèce, le DALE a délivré l'autorisation préalable de construire le 10 octobre 2014, soit avant l'adoption de la motion 2'278 du 5 juin 2015 et les modifications notamment légales et réglementaires qui en ont découlé. Cela étant, au vu de la jurisprudence qui précède, il convient d'analyser la conformité de la décision entreprise au regard de l'ensemble de ces instruments juridiques au jour du prononcé du présent arrêt. b. La parcelle 4'307, sise route du Camp 11A faisant l'objet de la construction litigieuse, est sise dans un secteur dans lequel le PDCn 2030 prévoit la densification par modification des limites de zones de certains secteurs de la cinquième zone (voir fiche A03). Toutefois, les effets d'un éventuel refus conservatoire ordonné en application de l'art. 13B LaLAT auraient pris fin, le délai de deux ans s'étant écoulé sans qu'une procédure de MZ n'ait été introduite. Cette question est en conséquence désormais sans objet. Par ailleurs, le plan de densification des quartiers de villas ne prévoit pas l'adoption de zones réservées sur la parcelle litigieuse ni sur les parcelles la jouxtant. Il en découle que le DALE n'a pas abusé de son pouvoir d'appréciation ni excédé celui-ci en n'ordonnant pas de refus conservatoire, contrairement au préavis du PDCR. 11) Les recourants reprochent également au TAPI d'avoir confirmé que la dérogation aux rapports de surfaces, en application de l'art. 59 al. 4 LCI, dont bénéficiait l'autorisation, était conforme au droit. a. En cinquième zone, la surface de la construction, exprimée en m 2 de plancher, ne doit pas excéder 25 % de la surface de la parcelle. Cette surface peut être portée à 27,5 % lorsque la construction est conforme à un standard de HPE, reconnue comme telle par le service compétent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reconnue comme telle par le service compétent (art. 59 al. 4 let. a LCI). b.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Comme le Tribunal fédéral a déjà eu l'occasion de le préciser, la première condition imposée par l'art. 59 al. 4 let. a LCI, soit le caractère justifié des circonstances, relève de l'opportunité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citées). c. L'art. 59 al. 4 let. a LCI est issu d'une modification législative qui visait à promouvoir une utilisation plus intensive du sol en cinquième zone pour répondre à la crise du logement sévissant à Genève. Le département doit cependant recueillir les appréciations de la CA, respectivement celles de la commune du lieu de situation. Il n'en demeure pas moins que la délivrance de telles autorisations de construire demeure de la compétence exclusive du département, à qui il appartient de statuer en tenant compte de tous les intérêts en présence ( ATA/318/2017 précité ; ATA/828/2015 du 11 août 2015 ; ATA/699/2015 du 30 juin 2015). 12) En l'espèce, les recourants estiment que le DALE a octroyé à tort la dérogation sur la densité des constructions ; celle-ci ne serait pas justifiée par les circonstances et serait incompatible avec le caractère, l'harmonie et l'aménagement du quartier. a. La chambre administrative n'est pas compétente pour apprécier la décision du DALE quant aux circonstances justifiant ou non l'octroi d'une dérogation, cet élément relevant du pouvoir en opportunité (art. 61 al. 2 LPA). Le fait que la parcelle se situe sur une zone où, selon la pratique administrative, une dérogation selon l'art. 59 al. 4 LCI devrait être refusée dans l'optique d'une densification de la parcelle, n'est pas de nature à modifier ce qui précède, compte tenu de l'art. 61 al. 2 LPA. De surcroît, la pratique a été adoptée en juillet 2015, après la délivrance de l'autorisation. Enfin, dans ses dernières écritures, datées d'octobre 2016, le DALE a maintenu que la dérogation était opportune. b. S'agissant de la compatibilité de la construction au sens de l'art. 59 al. 4 LCI, la CA a demandé la modification du projet pour ensuite se prononcer favorablement sur celui-ci. En tant qu'autorité spécialisée, son analyse détaillée du projet ne paraît pas contestable et c'est à bon droit que le DALE s'est fondé sur ce préavis imposé par la loi. Par ailleurs, après s'être plaints devant le TAPI que la dérogation impliquerait une trop forte densification du quartier, les recourants sont mal venus de se plaindre de ce que la dérogation empêcherait la densification plus intensive voulue ces dernières années par le législateur en cinquième zone. De surcroît, aucune disposition légale ne permet d'obliger la requérante à construire une surface minimale plus importante que celle prévue dans son projet. Les griefs des recourants quant à la prétendue violation de l'art. 59 LCI seront ainsi rejetés. 13) Les recourants soutiennent que le DALE violerait le principe de l'égalité de traitement en octroyant ladite dérogation malgré la pratique adoptée et publiée.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 ATA/20/2015 du 6 janvier 2015). b.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arrêts du Tribunal fédéral 2C_862/2015 du 7 juin 2016 consid. 9.1 et les références citées ; 1C_564/2015 du 2 juin 2016 consid. 3.1 ; Vincent MARTENET, Géométrie de l'égalité, Zürich-Bâle-Genève 2003, p. 260 ss). c. En l'espèce, la pratique ne peut limiter le pouvoir en opportunité octroyé par la loi au DALE. Par ailleurs, les recourants n'allèguent pas qu'une autre parcelle du même périmètre serait traitée différemment. Le grief est infondé. 14) Les préavis des autres services et les différents griefs des recourants ne permettent par ailleurs pas de remettre en cause le projet de construction litigieux conformément aux développements qui suivent. 15) Les recourants invoquent le préavis favorable sous réserve du DGT qui exige la création de deux places de parcs supplémentaires. Ce préavis est respecté par la décision entreprise qui ordonne d'observer les directives notamment de la DGT. Leur respect devra faire l'objet d'une analyse dans le cadre de la procédure de demande définitive. Ce grief sera donc rejeté. 16) Les recourants soutiennent que le projet ne pouvait être autorisé en raison d'un équipement insuffisant ; la voie d'accès, chemin privé sans issue, ne serait pas appropriée pour un usage accru induit par le projet de construction. a. L'art. 19 al. 1 LAT précise qu'un terrain est réputé équipé lorsqu'il est desservi d'une manière adaptée à l'utilisation prévue notamment par des voies d'accès. Au sens de cette disposition et de l'art. 22 al. 2 let. b LAT,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ATA/588/2017 du 23 mai 2017 ; ATA/758/2016 précité ; ATA/98/2012 du 21 février 2012 ; André JOMINI, Commentaire de la loi fédérale sur l'aménagement du territoire, 2010, ad. art. 19, p. 8 n. 19). b.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ad. art. 19, p. 8 n. 20). La loi n'impose toutefois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 c. L'art. 14 LCI prévoit dans ce contexte que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ATA/801/2014 du 14 octobre 2012 ; ATA/98/2012 précité ; ATA/100/2011 du 15 février 2011 et les références citées). d. En l'espèce, le projet prévoit la création de cinq villas sur la parcelle n° 4'307 où la villa existante serait détruite. Il en découle que huit, tout au plus dix véhicules supplémentaires emprunteraient la voie d'accès. Cette augmentation du trafic paraît négligeable. Les recourants ne démontrent pas que la voie d'accès deviendrait impraticable et exposerait ses usagers à des dangers excessifs. Cette voie d'accès - même si elle ne devait pas être idéale - ne saurait être qualifiée d'insuffisante au sens de la jurisprudence qui précède. Ce grief sera ainsi rejeté. 17) Les recourants se plaignent également des nuisances dues à l'augmentation du trafic qu'induirait la construction litigieuse. Cette question dépasse le cadre de la procédure de l'autorisation préalable et devra faire l'objet d'un examen spécifique dans le cadre de la procédure de demande définitive. Au stade actuel de la procédure, il n'est pas démontré que la faible augmentation de trafic entraînerait des nuisances telles que le projet devrait être abandonné et ne nécessiterait pas une analyse détaillée au stade de la demande définitive. Ce grief sera donc également rejeté. 18) Les recourants invoquent encore que l'augmentation du trafic constituerait un changement d'utilisation au sens de l'art. 674b CCS. a. Selon l'art. 647b CCS, une décision prise à la majorité de tous les copropriétaires, représentant en outre, leurs parts réunies, plus de la moitié de la chose, est nécessaire pour les actes d'administration plus importants notamment pour les changements d'utilisation. b.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(ATF 94 I 140 ; JdT 1969 I 88 ; ATA L. du 24 janvier 1990). En revanche, elle n'a pas pour objet de veiller au respect des droits réels (art. 3 al. 6 LCI ; ATA/434/1998 du 28 juillet 1998). c. En l'espèce, on voit mal pour quelle raison l'utilisation accrue de la voie d'accès par quelques véhicules supplémentaires constituerait un changement d'utilisation de celle-ci. Quoi qu'il en soit, s'agissant d'une violation éventuelle des droits des copropriétaires relevant du droit privé, la chambre de céans n'est pas compétente ( ATA/589/2017 du 23 mai 2017 ; ATA/653/2004 du 24 août 2004). En tant qu'il est recevable, ce grief sera également rejeté. 19) Au vu de ce qui précède, le recours sera rejeté. 20) Un émolument de CHF 1'000.- sera mis à la charge des recourants, pris conjointement et solidairement (art. 87 al. 1 LPA). Aucune indemnité de procédure ne sera versée aux intimées, qui n'y ont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