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A/3498/2022 vom 29. August 2023</w:t>
      </w:r>
    </w:p>
    <w:p>
      <w:r>
        <w:t>GE Cour de justice, 2023-08-29, FR</w:t>
      </w:r>
    </w:p>
    <w:p>
      <w:r>
        <w:rPr>
          <w:b/>
        </w:rPr>
        <w:t xml:space="preserve">Quelle: </w:t>
      </w:r>
      <w:r>
        <w:t>https://mcp.opencaselaw.ch/entscheid/ge_gerichte_A_3498_2022</w:t>
      </w:r>
    </w:p>
    <w:p>
      <w:r>
        <w:t>FR: GE_GERICHTE A/3498/2022 du 29 août 2023</w:t>
      </w:r>
    </w:p>
    <w:p>
      <w:r>
        <w:t>IT: GE_GERICHTE A/3498/2022 del 29 agosto 2023</w:t>
      </w:r>
    </w:p>
    <w:p>
      <w:pPr>
        <w:pStyle w:val="Heading2"/>
      </w:pPr>
      <w:r>
        <w:t>Erwägungen</w:t>
      </w:r>
    </w:p>
    <w:p>
      <w:r>
        <w:rPr>
          <w:b/>
        </w:rPr>
        <w:t>E. 2</w:t>
      </w:r>
    </w:p>
    <w:p>
      <w:r>
        <w:t>La conclusion en indemnisation des dépens (frais irrépétibles au sens de l'art. 475‑1 du code de procédure pénale français) n'a pas été maintenue devant la chambre de céans. La décision attaquée est donc entrée en force à cet égard et ce point ne sera pas examiné plus avant dans le présent arrêt.![endif]&gt;![if&gt;</w:t>
      </w:r>
    </w:p>
    <w:p>
      <w:r>
        <w:rPr>
          <w:b/>
        </w:rPr>
        <w:t>E. 3</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2).![endif]&gt;![if&gt; Il est incontesté que la recourante a la qualité de victime (art. 1 al. 1 LAVI) et que le délai de péremption de cinq ans de l'art. 25 al. 1 LAVI a été respecté.</w:t>
      </w:r>
    </w:p>
    <w:p>
      <w:r>
        <w:rPr>
          <w:b/>
        </w:rPr>
        <w:t>E. 4</w:t>
      </w:r>
    </w:p>
    <w:p>
      <w:r>
        <w:t>Il découle de ce qui précède que seul est litigieux le droit de la recourante à une réparation morale en application des art. 22 ss LAVI.![endif]&gt;![if&gt;</w:t>
      </w:r>
    </w:p>
    <w:p>
      <w:r>
        <w:rPr>
          <w:b/>
        </w:rPr>
        <w:t>E. 4.1</w:t>
      </w:r>
    </w:p>
    <w:p>
      <w:r>
        <w:t>Selon l'art. 22 al. 1 LAVI, la victime et ses proches ont droit à une réparation morale lorsque la gravité de l'atteinte le justifie ; les art. 47 et 49 de loi fédérale complétant le Code civil suisse du 30 mars 1911 (Livre cinquième : Droit des obligations - CO - RS 220) s'appliquent par analogie. La réparation morale constitue désormais un droit (Message du Conseil fédéral du 9 novembre 2005, FF 2005 6742).![endif]&gt;![if&gt; Aux termes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w:t>
      </w:r>
    </w:p>
    <w:p>
      <w:r>
        <w:rPr>
          <w:b/>
        </w:rPr>
        <w:t>E. 4.2</w:t>
      </w:r>
    </w:p>
    <w:p>
      <w:r>
        <w:t>Le système d'indemnisation du tort moral instauré par la LAVI et financé par la collectivité publique est subsidiaire par rapport aux autres possibilités d'obtenir réparation dont la victime dispose déjà (art. 4 LAVI ; ATF 131 II 121 consid. 2 ; 123 II 425 consid. 4b).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2b.cc).![endif]&gt;![if&gt;</w:t>
      </w:r>
    </w:p>
    <w:p>
      <w:r>
        <w:rPr>
          <w:b/>
        </w:rPr>
        <w:t>E. 4.3</w:t>
      </w:r>
    </w:p>
    <w:p>
      <w:r>
        <w:t>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ATA/1284/2021 du 23 novembre 2021 consid. 2b ; ATA/973/2015 du 22 septembre 2015 consid. 4c).![endif]&gt;![if&gt;</w:t>
      </w:r>
    </w:p>
    <w:p>
      <w:r>
        <w:rPr>
          <w:b/>
        </w:rPr>
        <w:t>E. 4.4</w:t>
      </w:r>
    </w:p>
    <w:p>
      <w:r>
        <w:t>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2.4.3).![endif]&gt;![if&gt;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ATA/222/2023 du 7 mars 2023 consid. 5b ; ATA/1291/2022 du 20 décembre 2022 consid. 7c).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rPr>
          <w:b/>
        </w:rPr>
        <w:t>E. 4.5</w:t>
      </w:r>
    </w:p>
    <w:p>
      <w:r>
        <w:t>Le Guide relatif à la fixation du montant de la réparation morale à titre d'aide aux victimes d'infractions à l'intention des autorités cantonales en charge de l'octroi de la réparation morale à titre de LAVI, rédigé en octobre 2008 (ci-après : le guide) a été entièrement remanié et s'intitule désormais « Guide relatif à la fixation du montant de la réparation morale selon la LAVI » du 3 octobre 2019 (https://www.bj.admin.ch/bj/fr/home/aktuell/news/2019/2019-10-03.html).![endif]&gt;![if&gt; Il s'adresse aux autorités d'indemnisation des victimes et aux professionnels chargés d'accorder une réparation morale au sens de la LAVI. Le guide concerne principalement la prétention à réparation morale et la fixation de son montant au sens de la LAVI. Il a pour objectif de permettre l'application uniforme de la LAVI en matière de réparation morale (p. 2). Les fourchettes du guide aménagent une marge de manœuvre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en cas de blessures, dont la guérison se déroule le plus souvent sans complication telles que des fractures, les montants se situent entre CHF 1'000.- et CHF 3'000.-. S'il s'agit de blessures infligées par couteau ou par balle, la réparation peut s'élever jusqu'à CHF 5'000.- ;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 La pratique en matière de réparation morale à titre d'aide aux victimes - Fixation des montants de la réparation morale selon la LAVI révisée, Jusletter du 8 juin 2015, p. 27 s). Par ailleurs, selon le guide, les atteintes à l’intégrité physique de peu de gravité ne donnent pas droit à réparation morale, sauf en présence de circonstances aggravantes. Ces dernières sont présentes lorsque les lésions corporelles ont été infligées dans des circonstances traumatiques, ou bien ont laissé des séquelles psychiques durables. On peut par exemple aussi considérer comme circonstances aggravantes la mise en danger de la vie, des répercussions dramatiques sur la vie privée et professionnelle de la victime, un séjour prolongé à l’hôpital, plusieurs séjours, ou encore des douleurs persistantes ou aiguës. Une indemnité jusqu'à CHF 5'000.- correspond à des atteintes corporelles non négligeables, en voie de guérison, ainsi que des atteintes de peu de gravité avec circonstances aggravantes, comme par exemple des fractures ou des commotions cérébrales (p. 10).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(p. 14). Les critères de fixation du montant sont, selon le guide, les conséquences directes de l'acte (notamment l'intensité, l'ampleur et la durée des séquelles physiques telles que les douleurs par exemple, des séquelles psychiques, la durée du traitement, de la psychothérapie, l'altération considérable du mode de vie), le déroulement de l'acte et ses circonstances (notamment l'acte qualifié avec utilisation d'armes ou d'autres objets dangereux, l'ampleur et l'intensité de violence, la commission de l'acte dans un cadre protégé tel qu'un logement) et la situation de la victime (âge notamment ; p. 11). Pour les victimes ayant subi une atteinte grave à l'intégrité psychique, la pratique pour la détermination de la gravité de cette atteinte consiste à partir de la gravité ou des circonstances concrètes de l'infraction et à en tirer des conclusions sur les répercussions notoires. Ainsi, pour une 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le guide prévoit une réparation morale allant jusqu'à un montant de CHF 5'000.- (p. 15). Les critères de fixation du montant sont, selon le guide, les conséquences directes de l'acte (notamment l'intensité, l'ampleur et la durée des séquelles psychiques, la durée de la psychothérapie, la mise en danger de la vie et la durée de persistance de ce danger, l'altération considérable du mode de vie, les conséquences sur la vie privée ou professionnelle), le déroulement de l'acte et les circonstances (notamment l'acte qualifié, l'ampleur et l'intensité de la violence, la durée et la fréquence de l'acte, l'acte commis dans un cadre protégé), ainsi que la situation de la victime (l'âge en particulier une victime mineure, la vulnérabilité particulière et la relation de confiance ou de dépendance entre la victime et l'auteur ; p. 16).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 ATA/222/2023 précité consid. 5e).</w:t>
      </w:r>
    </w:p>
    <w:p>
      <w:r>
        <w:rPr>
          <w:b/>
        </w:rPr>
        <w:t>E. 4.6</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ATA/926/2021 du 7 septembre 2021 consid. 6b ; Thierry TANQUEREL, Manuel de droit administratif, 2 ème éd., 2018, n. 514). L’autorité commet un abus de son pouvoir d'appréciation lorsque, tout en respectant les conditions et les limites légales,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du 3 octobre 2017 consid. 10 ; ATA/1253/2015 du 24 novembre 2015 consid. 5d ; Benoît BOVAY, Procédure administrative, 2015, p. 566).![endif]&gt;![if&gt;</w:t>
      </w:r>
    </w:p>
    <w:p>
      <w:r>
        <w:rPr>
          <w:b/>
        </w:rPr>
        <w:t>E. 4.7</w:t>
      </w:r>
    </w:p>
    <w:p>
      <w:r>
        <w:t>En l'espèce, la recourante a rendu vraisemblable que ses agresseurs ne lui verseraient aucune prestation (art. 4 LAVI).![endif]&gt;![if&gt; L'atteinte physique subie par la recourante a été de peu de gravité. Elle a été qualifiée par les autorités judiciaires françaises de violence commise en réunion sans incapacité. La recourante a pu rentrer à son domicile le jour même et a repris le travail presque immédiatement bien qu'elle ait disposé d'un certificat médical d'arrêt de travail de onze jours. On ne décèle de plus pas dans son cas de circonstances aggravantes, telles que douleurs persistantes ou séjours hospitaliers longs ou multiples. Quant à l'atteinte psychique, la recourante a renoncé à suivre un traitement psychothérapeutique et n'a pas eu besoin d'un traitement médicamenteux. Certes, les circonstances de l'infraction, à savoir une agression violente commise en bande, ne sont pas à négliger quant à leur impact psychologique sur la recourante. Cela étant, si elle a subi des séquelles telles que surcroît de méfiance, difficultés à sortir sans être accompagnée et difficultés de sommeil, on ne peut quoiqu'elle en dise parler à cet égard d'altération considérable du mode de vie ou de la personnalité. Elle a ainsi pu continuer à travailler, et a dit s'être remise à sortir le soir. Les conclusions auxquelles est parvenue l'autorité intimée ne sont donc pas critiquables, à savoir que les conditions d'une réparation morale au sens de l'art. 22 LAVI ne sont pas données dans le cas de la recourante. Il s'ensuit que le recours, mal fondé, sera rejeté.</w:t>
      </w:r>
    </w:p>
    <w:p>
      <w:r>
        <w:rPr>
          <w:b/>
        </w:rPr>
        <w:t>E. 5</w:t>
      </w:r>
    </w:p>
    <w:p>
      <w:r>
        <w:t>Vu la nature du litige, il ne sera pas perçu d’émolument (art. 30 al. 1 LAVI et 87 al. 1 LPA).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