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A/3491/2022 vom 13. Juni 2023</w:t>
      </w:r>
    </w:p>
    <w:p>
      <w:r>
        <w:t>GE Cour de justice, 2023-06-13, FR</w:t>
      </w:r>
    </w:p>
    <w:p>
      <w:r>
        <w:rPr>
          <w:b/>
        </w:rPr>
        <w:t xml:space="preserve">Quelle: </w:t>
      </w:r>
      <w:r>
        <w:t>https://mcp.opencaselaw.ch/entscheid/ge_gerichte_A_3491_2022</w:t>
      </w:r>
    </w:p>
    <w:p>
      <w:r>
        <w:t>FR: GE_GERICHTE A/3491/2022 du 13 juin 2023</w:t>
      </w:r>
    </w:p>
    <w:p>
      <w:r>
        <w:t>IT: GE_GERICHTE A/3491/2022 del 13 giugno 2023</w:t>
      </w:r>
    </w:p>
    <w:p>
      <w:pPr>
        <w:pStyle w:val="Heading2"/>
      </w:pPr>
      <w:r>
        <w:t>Erwägungen</w:t>
      </w:r>
    </w:p>
    <w:p>
      <w:r>
        <w:rPr>
          <w:b/>
        </w:rPr>
        <w:t>E. 2</w:t>
      </w:r>
    </w:p>
    <w:p>
      <w:r>
        <w:t>Le recourant reproche au TAPI d’avoir limité son examen aux conditions de recevabilité de sa demande de reconsidération.![endif]&gt;![if&gt;</w:t>
      </w:r>
    </w:p>
    <w:p>
      <w:r>
        <w:rPr>
          <w:b/>
        </w:rPr>
        <w:t>E. 2.1</w:t>
      </w:r>
    </w:p>
    <w:p>
      <w:r>
        <w:t>L'autorité administrative qui a pris une décision entrée en force n'est obligée de la reconsidérer que si sont réalisées les conditions de l'art. 48 al. 1 LPA. Une telle obligation existe notamment lorsque des faits ou des moyens de preuve nouveaux et importants existent, que le recourant ne pouvait connaître ou invoquer dans la procédure précédente (art. 80 let. b LPA ; faits nouveaux « anciens » ; ATA/539/2020 du 29 mai 2020 consid. 5b).![endif]&gt;![if&gt;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w:t>
      </w:r>
    </w:p>
    <w:p>
      <w:r>
        <w:rPr>
          <w:b/>
        </w:rPr>
        <w:t>E. 2.2</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4a).![endif]&gt;![if&gt;</w:t>
      </w:r>
    </w:p>
    <w:p>
      <w:r>
        <w:rPr>
          <w:b/>
        </w:rPr>
        <w:t>E. 2.3</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ATA/1098/2022 du 1 er novembre 2022 consid. 2 ; ATA/1620/2019 précité consid. 3e).![endif]&gt;![if&gt;</w:t>
      </w:r>
    </w:p>
    <w:p>
      <w:r>
        <w:rPr>
          <w:b/>
        </w:rPr>
        <w:t>E. 2.4</w:t>
      </w:r>
    </w:p>
    <w:p>
      <w:r>
        <w:t>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 ATA/539/2020 précité consid. 4b ; ATA/1244/2019 précité consid. 5b).![endif]&gt;![if&gt;</w:t>
      </w:r>
    </w:p>
    <w:p>
      <w:r>
        <w:rPr>
          <w:b/>
        </w:rPr>
        <w:t>E. 2.5</w:t>
      </w:r>
    </w:p>
    <w:p>
      <w:r>
        <w:t>Une demande de reconsidération ne doit pas permettre de remettre continuellement en cause des décisions entrées en force et d'éluder les dispositions légales sur les délais de recours (ATF 136 II 177 consid. 2.1 ;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1417).![endif]&gt;![if&gt;</w:t>
      </w:r>
    </w:p>
    <w:p>
      <w:r>
        <w:rPr>
          <w:b/>
        </w:rPr>
        <w:t>E. 2.6</w:t>
      </w:r>
    </w:p>
    <w:p>
      <w:r>
        <w:t>En l’espèce, le TAPI a nié l’existence d’une modification notable des circonstances au sens de art. 48 al. 1 let. b LPA, exposant que les éléments avancés par le recourant dans sa demande de reconsidération – son intégration remarquable et la dégradation de son état de santé en raison de la perspective de son renvoi – résultaient uniquement de l’écoulement du temps. La dégradation alléguée de son état de santé, en lien avec la perspective de son renvoi n’était en outre pas déterminante. Enfin, aucun élément du dossier n’indiquait que le recourant courrait un risque pour sa vie ou son intégrité en cas de renvoi.![endif]&gt;![if&gt; Ce raisonnement ne prête pas le flanc à la critique. En effet, le recourant n’a pas présenté, avec sa demande de reconsidération, d’éléments nouveaux au sens de l’art. 48 LPA. Comme cela vient d’être exposé, même si son intégration, notamment sociale, s’est poursuivie depuis le rejet, le 30 novembre 2017, de sa demande de renouveler son autorisation de séjour, celle-ci résulte uniquement du fait qu’il ne s'est pas conformé à la décision précitée ainsi qu’aux décisions subséquentes ordonnant son renvoi de Suisse. À l’évidence, cette amélioration ne peut constituer une circonstance nouvelle notable justifiant d’entrer en matière sur la demande de reconsidération. Si tel était le cas, cela reviendrait à favoriser les étrangers ne respectant pas les décisions rendues à leur encontre. En outre, le fait de faire fi d’une décision de renvoi ne témoigne pas d’une bonne intégration sociale ni de la capacité de respecter l’ordre juridique suisse. Par ailleurs et comme l’a à juste titre retenu le TAPI, dès lors que la péjoration de l’état de santé du recourant semble liée à la perspective de son renvoi, il ne s’agit pas d’un élément déterminant au sens de l’art. 48 LPA, étant en outre relevé que l'on ne saurait de manière générale prolonger indéfiniment le séjour d'une personne en Suisse au seul motif que la perspective d'un retour exacerbe un état psychologique perturbé ( ATA/707/2022 du 5 juillet 2022 consid. 6c et la référence citée). Contrairement à ce que soutient le recourant, le fait que la décision dont il demande la reconsidération n’a pas été soumise à un contrôle judiciaire ne constitue pas un motif justifiant d’entrer en matière sur celle-ci. Par ailleurs, l’absence dudit contrôle est entièrement imputable au recourant, qui ne s’est pas acquitté de l’avance de frais ni n’a requis l’assistance judiciaire dans le délai imparti à cet effet par le TAPI. Enfin, les affirmations du recourant au sujet de son activité passée au sein d’une association d’opposants au régime en place au Gabon et de risques de torture ou de menaces de mort qu’il encourrait en cas de retour dans son pays d’origine demeurent très générales. Il n’avance aucun élément concret laissant penser qu’il pourrait être l’objet de tels actes. Une telle éventualité paraît, au demeurant, contredite par le fait qu’il ressort du dossier que le recourant s’est rendu à plusieurs reprises au Gabon après son arrivée en Suisse. Au vu de ce qui précède, l’OCPM n’a pas violé la loi ni abusé de son pouvoir d’appréciation en refusant d’entrer en matière sur la demande de reconsidération. Mal fondé, le recours sera donc rejeté.</w:t>
      </w:r>
    </w:p>
    <w:p>
      <w:r>
        <w:rPr>
          <w:b/>
        </w:rPr>
        <w:t>E. 3</w:t>
      </w:r>
    </w:p>
    <w:p>
      <w:r>
        <w:t>Le présent arrêt rend sans objet la demande d’effet suspensif et de mesures provisionnelles.![endif]&gt;![if&gt;</w:t>
      </w:r>
    </w:p>
    <w:p>
      <w:r>
        <w:rPr>
          <w:b/>
        </w:rPr>
        <w:t>E. 4</w:t>
      </w:r>
    </w:p>
    <w:p>
      <w:r>
        <w:t>Vu l’issue du litige, un émolument de CHF 550.- sera mis à la charge du recourant, qui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