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A/348/2019 vom 28. März 2019</w:t>
      </w:r>
    </w:p>
    <w:p>
      <w:r>
        <w:t>GE Cour de justice, 2019-03-28, FR</w:t>
      </w:r>
    </w:p>
    <w:p>
      <w:r>
        <w:rPr>
          <w:b/>
        </w:rPr>
        <w:t xml:space="preserve">Quelle: </w:t>
      </w:r>
      <w:r>
        <w:t>https://mcp.opencaselaw.ch/entscheid/ge_gerichte_A_348_2019</w:t>
      </w:r>
    </w:p>
    <w:p>
      <w:r>
        <w:t>FR: GE_GERICHTE A/348/2019 du 28 mars 2019</w:t>
      </w:r>
    </w:p>
    <w:p>
      <w:r>
        <w:t>IT: GE_GERICHTE A/348/2019 del 28 marzo 2019</w:t>
      </w:r>
    </w:p>
    <w:p>
      <w:pPr>
        <w:pStyle w:val="Heading2"/>
      </w:pPr>
      <w:r>
        <w:t>Erwägungen</w:t>
      </w:r>
    </w:p>
    <w:p>
      <w:r>
        <w:rPr>
          <w:b/>
        </w:rPr>
        <w:t>E. 1</w:t>
      </w:r>
    </w:p>
    <w:p>
      <w:r>
        <w:t>La Ville de Genève (ci-après : la ville), soit pour elle sa centrale municipale d’achat et d’impression, a publié un avis d’appel d’offres en procédure ouverte pour un marché de service baptisé « Encombrants_A1 » portant sur des prestations de réception, traitement et évacuation vers les filières de valorisation des déchets ménagers encombrants.![endif]&gt;![if&gt;</w:t>
      </w:r>
    </w:p>
    <w:p>
      <w:r>
        <w:rPr>
          <w:b/>
        </w:rPr>
        <w:t>E. 2</w:t>
      </w:r>
    </w:p>
    <w:p>
      <w:r>
        <w:t>Par décision publiée sur le site simap.ch (www.simap.ch) le 15 janvier 2019, la ville a attribué ce marché à l’entreprise Serbeco SA (ci-après : Serbeco).![endif]&gt;![if&gt;</w:t>
      </w:r>
    </w:p>
    <w:p>
      <w:r>
        <w:rPr>
          <w:b/>
        </w:rPr>
        <w:t>E. 3</w:t>
      </w:r>
    </w:p>
    <w:p>
      <w:r>
        <w:t>Le 25 janvier 2019 Sogetri SA, concurrent évincé, a recouru contre la décision précitée par devant la chambre administrative de la Cour de justice (ci-après : la chambre administrative), concluant principalement à son annulation et à ce que le marché lui soit adjugé et, préalablement, à ce que l’effet suspensif lié au recours soit restitué.![endif]&gt;![if&gt; En substance, Serbeco aurait dû être exclu de la procédure car son site de réception des déchets concernés n’était pas ouvert et opérationnel du lundi au vendredi de 6h30 à 12h00 et de 13h30 à 17h00 ainsi que l’appel d’offres le demandait. De même, ce site devait impérativement être au bénéfice d’une autorisation d’exploiter une installation de traitement de déchets pour les catégories et les quantités demandées dans l’appel d’offres, ce qui n’était pas le cas. L’appel d’offres demandait que les soumissionnaires s’engagent à respecter la législation en vigueur et indiquent, pour chaque type de déchets, la filière de valorisation, sa destination finale, son type de valorisation et le moyen de transport. Les prix proposés par Serbeco permettaient de penser que cette société utiliserait certains déchets pour créer des combustibles solides de récupération, notamment en travaillant avec une cimenterie située dans le canton de Vaud, ce qui entrainait une violation du plan de gestion des déchets du canton de Genève : de tels déchets combustibles devaient impérativement être amenés à l’usine des Cheneviers.</w:t>
      </w:r>
    </w:p>
    <w:p>
      <w:r>
        <w:rPr>
          <w:b/>
        </w:rPr>
        <w:t>E. 4</w:t>
      </w:r>
    </w:p>
    <w:p>
      <w:r>
        <w:t>Le 12 février 2019, Serbeco a conclu au rejet de la demande de restitution de l’effet suspensif. ![endif]&gt;![if&gt; Son site de réception dans le secteur de la Praille était ouvert de 6h00 à 18h00 ; l’horaire avait été étendu depuis la signature du document sur lequel la recourante se fondait. Elle disposait des autorisations nécessaires pour récupérer le tonnage de l’ensemble des déchets acheminés sur son site. De plus, l’autorité compétente, soit le service de géologie, sols et déchets (ci-après : GESDEC), lui avait indiqué être prêt à tolérer un dépassement du tonnage, le cas échéant. Contrairement à ce que la recourante esquissait, son offre prévoyait que les déchets seraient acheminés à l’usine d’incinération des Cheneviers, subsidiairement à l’usine d’incinération Tridel du canton de Vaud ou à celle de Monthey en Valais, si la première nommée les refusait. Au vu de ces éléments, le recours était dépourvu de toute chance de succès.</w:t>
      </w:r>
    </w:p>
    <w:p>
      <w:r>
        <w:rPr>
          <w:b/>
        </w:rPr>
        <w:t>E. 5</w:t>
      </w:r>
    </w:p>
    <w:p>
      <w:r>
        <w:t>Le 12 février 2019, la ville, s’en rapportant à justice quant à la recevabilité du recours, a conclu au rejet de la demande d’effet suspensif pour des motifs similaires, quoi que plus longuement exposés, que ceux mis en avant par Serbeco.![endif]&gt;![if&gt;</w:t>
      </w:r>
    </w:p>
    <w:p>
      <w:r>
        <w:rPr>
          <w:b/>
        </w:rPr>
        <w:t>E. 6</w:t>
      </w:r>
    </w:p>
    <w:p>
      <w:r>
        <w:t>Après que la question de l’accès au dossier par les diverses parties aie été réglé, afin de protéger le secret d’affaire, SOGETRI a maintenu ses conclusions initiales, développant les éléments figurant dans son recours.![endif]&gt;![if&gt; L’horaire d’exploitation du site de Serbeco - de 6h30 à 14h30 - était fixé dans le règlement d’exploitation approuvé par le GESDEC ; ce document ne pouvait être modifié que par une nouvelle décision, soumise à publication. Dès lors que ce service était prêt à tolérer un dépassement du volume autorisé, force était d’admettre que Serbeco ne disposait pas des autorisations nécessaires pour un tel traitement.</w:t>
      </w:r>
    </w:p>
    <w:p>
      <w:r>
        <w:rPr>
          <w:b/>
        </w:rPr>
        <w:t>E. 7</w:t>
      </w:r>
    </w:p>
    <w:p>
      <w:r>
        <w:t>Sur quoi, la cause a été gardée à juger sur effet suspensif, ce dont les parties ont été informées.![endif]&gt;![if&gt;</w:t>
      </w:r>
    </w:p>
    <w:p>
      <w:r>
        <w:rPr>
          <w:b/>
        </w:rPr>
        <w:t>E. 8</w:t>
      </w:r>
    </w:p>
    <w:p>
      <w:r>
        <w:t>Le 26 mars 2019, Serbeco a produit une écriture spontanée, qui lui a été retournée.![endif]&gt;![if&gt; Considérant, en droit, que : 1. Le recours, interjeté en temps utile devant l'autorité compétente, est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 2. 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ATA/1581/2017 du 7 décembre 2017 consid. 2, et les arrêts cités ; Benoît BOVAY, Recours, effet suspensif et conclusion du contrat, in Jean-Baptiste ZUFFEREY/Hubert STÖCKLI, Marchés publics 2010, Zurich 2010, pp. 311-341, p. 317 n. 15). La restitution de l’effet suspensif constitue cependant une exception en matière de marchés publics, et représente une mesure dont les conditions ne peuvent être admises qu’avec restriction ( ATA/1581/2017 précité consid. 2, et les arrêts cités). 3. a. 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notamment dans la phase de passation des marchés (art. 11 AIMP, notamment let. a et b AIMP). b.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arrêts du Tribunal fédéral 2P.111/2003 du 21 janvier 2004 consid. 3.3 ; 2P.172/2002 du 10 mars 2003 consid. 3.2). 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 4. En l’état, et à première vue, les griefs formés par la recourante n’apparaissent pas suffisamment fondés pour autoriser la chambre administrative à restituer l’effet suspensif lié au recours. a. S’agissant des horaires d’ouverture, Serbeco produit un échange de courriers électroniques dont il ressortait que l’autre utilisateur de la plate-forme concernée, soit les Services industriels de Genève, étaient d’accord avec la modification de l’horaire. À première vue, et dès lors que d'une part l’intégralité de cet échange était adressé en copie au GESDEC et que, d’autre part, le site semble être concrètement ouvert aux heures demandées par l’appel d’offres, ce grief semble ne pas avoir suffisamment de substance pour entraîner l’octroi de l’effet suspensif. b. Pour ce qui concerne la question des tonnages autorisés, les indications données par l’entreprise intimée, appuyées par le courrier du GESDEC du 6 décembre 2018 permettent d’admettre que, à première vue, les autorisations dont disposent Serbeco sont suffisantes pour respecter les exigences de l’appel d’offres. De plus, les éventuels dépassements – qualifiés à ce stade que de risques – ne permettent pas non plus, toujours prima facie, de retenir que le grief est suffisamment consistant pour amener la chambre administrative à octroyer l’effet suspensif. c. En dernier lieu, Serbeco a produit des documents démontrant, toujours à première vue, que le mode d’évacuation qu’il entend utiliser et conforme à l’appel d’offres. 5. La demande de restitution de l’effet suspensif sera en conséquence rejetée. Le sort des frais sera réservé jusqu’à droit jugé au fond. LA CHAMBRE ADMINISTRATIVE refuse d’octroyer l’effet suspensif au recours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Marc Balavoine, avocat de la recourante, à Me Michel D'Alessandri, avocat de Ville de Genève - centrale municipale d'achat et d'impression, ainsi qu’à Mes Lucile Bonaz et Pierre Gabus, avocats de Serbeco SA.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