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A/3486/2023 vom 20. November 2024</w:t>
      </w:r>
    </w:p>
    <w:p>
      <w:r>
        <w:t>GE Cour de justice, 2024-11-20, FR</w:t>
      </w:r>
    </w:p>
    <w:p>
      <w:r>
        <w:rPr>
          <w:b/>
        </w:rPr>
        <w:t xml:space="preserve">Quelle: </w:t>
      </w:r>
      <w:r>
        <w:t>https://mcp.opencaselaw.ch/entscheid/ge_gerichte_A_3486_2023</w:t>
      </w:r>
    </w:p>
    <w:p>
      <w:r>
        <w:t>FR: GE_GERICHTE A/3486/2023 du 20 novembre 2024</w:t>
      </w:r>
    </w:p>
    <w:p>
      <w:r>
        <w:t>IT: GE_GERICHTE A/3486/2023 del 20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de la recourante à une rente d’invalidité depuis juin 2015.</w:t>
      </w:r>
    </w:p>
    <w:p>
      <w:r>
        <w:rPr>
          <w:b/>
        </w:rPr>
        <w:t>E. 3.1</w:t>
      </w:r>
    </w:p>
    <w:p>
      <w:r>
        <w:t>Dans le cadre du développement continu de l’assurance-invalidité,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et 8C_644/2022 du 8 février 2023 consid. 2.2.3).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 En l’occurrence, la décision querellée est postérieure au 1 er janvier 2022, mais elle concerne le droit de la recourante à une rente d’invalidité depuis juin 2015, avec des changements de circonstances éventuels survenus en 2015 et 2017, de sorte que c’est le droit en vigueur jusqu’au 31 décembre 2021 qui s’applique.</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L’assuré a droit à une rente entière s’il est invalide à 70% au moins, à un trois quarts de rente s'il est invalide à 60% au moins, à une demi-rente s’il est invalide à 50% au moins, ou à un quart de rente s’il est invalide à 40% au moins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Il y a lieu d'examiner la capacité de travail et la capacité fonctionnelle de la personne concernée dans le cadre d'une procédure structurée d'administration des preuves à l'aide d'indicateurs (ATF 141 V 28 ), car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3.3</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4.1.1</w:t>
      </w:r>
    </w:p>
    <w:p>
      <w:r>
        <w:t>En l’espèce, la recourante conteste les résultats de l’expertise bidisciplinaire du H______. L’intimé estime que ce rapport a une pleine valeur probante, relevant que la Dre I______ a confirmé ses conclusions le 4 août 2022, en particulier qu’une activité adaptée était exigible à 100% de la part de la recourante. La chambre de céans constate que le rapport d’expertise du H______ répond de prime abord aux réquisits permettant de reconnaître à l’expertise une pleine valeur probante et elle examinera ci-après les critiques formulées à son encontre par la recourante.</w:t>
      </w:r>
    </w:p>
    <w:p>
      <w:r>
        <w:rPr>
          <w:b/>
        </w:rPr>
        <w:t>E. 4.1.2</w:t>
      </w:r>
    </w:p>
    <w:p>
      <w:r>
        <w:t>La recourante fait valoir que dans sa réponse aux questions du SMR, l’experte psychiatre avait indiqué ne pas retenir de diagnostic purement psychiatrique quant au syndrome douloureux diffus que la recourante n’avait pas mentionné lors de leur entretien. Ce constat était arbitraire selon elle, car il ne lui appartenait pas de suggérer un diagnostic à l’experte ou d’attirer son attention sur un diagnostic posé par un confrère. L’experte devait se référer au dossier médical, qui mentionnait à de multiples reprises les douleurs dont souffrait la recourante. De plus, le diagnostic de fibromyalgie avait été retenu par le dernier psychiatre qui l’avait suivie. L’experte aurait dû investiguer le volet psychiatrique de ses douleurs. Le fait qu’elle ne se soit intéressée ni à la fibromyalgie diagnostiquée par le Dr J______ en 2017, ni aux douleurs alléguées par la recourante pendant des années démontrait une investigation grossièrement incomplète et une constatation arbitraire des faits. Il ressort de l’évaluation consensuelle de l’expertise que sur le plan somatique, des diagnostics ont été posés pour l’atteinte lombaire de la recourante ainsi que pour ses atteintes des genoux, des pieds et des hanches. Le diagnostic de fibromyalgie a été éliminé. Il a été précisé qu’une partie des douleurs de la recourante n’avait pas d’explication anatomique et relevait d’un syndrome douloureux diffus d’origine inexpliquée, sans anomalie de l’examen fonctionnel, et que la recourante présentait un trouble dépressif récurrent, actuellement en rémission. Le SMR a demandé à l’experte rhumatologue, le 6 juillet 2022, pour quels motifs elle estimait que le syndrome douloureux diffus d’origine inexpliquée n’était pas incapacitant. Il a également demandé à l’experte psychiatre si elle pouvait se prononcer sur le diagnostic de syndrome douloureux diffus posé par l’expert rhumatologue et l’éventuel diagnostic retenu en précisant s’il était incapacitant. L’experte rhumatologue a répondu au SMR, le 6 octobre 2022, que le syndrome douloureux diffus était décrit comme non incapacitant, car les données de l’examen clinique confirmaient l’absence de limitations fonctionnelles objectives notables et qu’il n’y avait pas de prise médicamenteuse importante. L’experte psychiatre a répondu au SMR qu’elle n’avait pas retenu de diagnostic purement psychiatrique quant au syndrome douloureux diffus que la recourante n’avait pas mentionné dans l’entretien de l’expertise psychiatrique. Dans son premier rapport, l’experte psychiatre a mentionné dans l’anamnèse que la recourante s’était plainte de douleurs au dos et aux genoux qui l’empêchaient de travailler, que celles-ci étaient apparues en 2013 et qu’elles avaient évolué vers une chronicisation. Par ailleurs, selon l’experte rhumatologue, les douleurs de l’assurée au dos et aux genoux avaient principalement une origine somatique, de type dégénératif. Sur la base de ces éléments, la chambre de céans estime qu’il n’est pas critiquable que l’experte psychiatre ne se soit pas prononcée, dans son rapport du 28 juin 2022, sur l’effet incapacitant ou non du syndrome douloureux diffus, dès lors qu’elle a mentionné dans l’anamnèse que la recourante s’était plainte de douleurs au dos et aux genoux qui l’empêchaient de travailler lesquelles étaient apparues en 2013 et avaient évolué vers une chronicisation et que, selon l’experte rhumatologue, les douleurs au dos et aux genoux de la recourante avaient principalement une origine somatique, de type dégénératif. Le fait que l’experte rhumatologue ait retenu le diagnostic non incapacitant de syndrome douloureux diffus ne permet pas de considérer qu’il y avait forcément un diagnostic psychiatrique en lien avec celui-ci. L’experte rhumatologue a posé ce diagnostic sans référence à la CIM-10. Il ne s’agit pas forcément d’un syndrome douloureux somatoforme persistant, qui est de la compétence d’un psychiatre et qui est posé lors de douleurs persistantes (pendant au moins six mois, en permanence et presque tous les jours), intenses et s’accompagnant d’un sentiment de détresse, n’importe où dans le corps, non expliquées entièrement par un processus physiologique ou un trouble physique et qui constitue la préoccupation essentielle du patient. Il pouvait également s’agir d’autres troubles somatoformes (F45) ou de trouble somatoforme sans précision (F45.9). Cette question peut toutefois rester ouverte, car même si, par hypothèse, on admettait qu’un de ces diagnostics aurait dû être posé, il faudrait admettre que les indicateurs de gravité développés par le Tribunal fédéral pour les diagnostics de ce type ne permettent pas de considérer qu’il serait incapacitant. Par ailleurs, il ne s’imposait pas de prime abord que les indicateurs d’exigibilité soient examinés par l’experte psychiatre, dès lors que l’experte rhumatologue n’a pas retenu le diagnostic de fibromyalgie et qu’elle a indiqué que si une partie des douleurs de la recourante n’avait pas d’explication anatomique et relevait d’un syndrome douloureux diffus d’origine inexpliquée, il n’y avait pas d’anomalie de l’examen fonctionnel. Il ressort de l’appréciation consensuelle que l’indicateur des comorbidités a été pris en compte, puisque les expertes ont fait une appréciation globale de l’atteinte à la santé de la recourante tant du point de vue somatique que psychiatrique. Elles ont retenu au final que l’importance du vécu douloureux au plan somatique pouvait avoir une incidence sur ses capacités fonctionnelles. Elles ont également examiné les ressources de la recourante, retenant qu’elle en avait, puisqu’elle pouvait prendre soin d’elle-même, de son ménage et de son administration, recevoir des amis ou se rendre chez eux, échanger avec sa famille, partir en vacances et s’adonner à la lecture qui était sa passion, en précisant que constituaient des facteurs de surcharge, son vécu douloureux global et ses soucis familiaux ainsi que sa colère vis-à-vis de la dépendance financière. Il a ainsi été procédé à une appréciation nuancée et convaincante de cet indicateur. S’agissant de l’indicateur du poids des souffrances, les expertes en ont également tenu compte, puisqu’elles ont relevé que la recourante avait mis fin à tout suivi psychiatrique en 2017 et qu’elle avait exprimé l’absence de besoin d’en bénéficier. S’agissant de ses douleurs, l’experte rhumatologue a indiqué que la recourante prenait du Voltaren, mais pas tous les jours alors que celui-ci lui était prescrit pour tous les matins. Elle prenait en revanche beaucoup de Brufen, sans prescription médicale. La recourante a déclaré à l’experte rhumatologue que depuis 2012, sa symptomatologie s’était aggravée tant au niveau du genou droit que du rachis lombaire. Elle avait arrêté de se soigner de 2016 à 2021. S’agissant de son pied gauche, elle avait depuis plusieurs années de fortes douleurs au pied gauche et rien n’avait été trouvé. En 2008, on lui avait diagnostiqué une fracture de fatigue liée à un mobbing, « c’était son corps qui parlait ». Depuis, elle avait toujours eu mal. Elle avait pris des antalgiques, mais n’avait pas fait de bilan complémentaire pensant qu’il n’y avait rien à faire. L’on ne peut ainsi retenir comme l’allègue la recourante qu’elle s’est rendue très régulièrement chez ses médecins et qu’elle suivait leurs prescriptions, puisqu’elle a, selon ses propres déclarations, arrêté de se soigner de 2016 à 2021 et qu’il est établi qu’elle ne prenait pas le Voltaren tous les jours, comme cela lui était prescrit. L’on peut ainsi admettre que son comportement par rapport au suivi médical relativise l’intensité de ses douleurs. Ses tentatives de réintégration professionnelle et le poids de ses soucis familiaux ne permettent pas d’en juger autrement. Les expertes ont retenu que la recourante avait un vécu de majoration douloureuse et d’importance plus marqué que l’anatomie ne l’expliquait et sans prise de médicament. Il en ressort que les plaintes douloureuses de la recourante peuvent être exagérées en raison de son complexe de personnalité. Il s’agit, encore, de se demander si l’atteinte à la santé limite la recourante de manière semblable dans son activité professionnelle ou dans l’exécution de ses travaux habituels et dans les autres activités (par exemple, les loisirs). À ce sujet, la recourante fait valoir qu’elle ne développait presqu’aucune activité de loisir ou domestique et que ce critère n’était pas réellement examiné dans l’expertise. Contrairement à ce qu’allègue la recourante, l’experte psychiatre a pris en compte les activités de loisirs et domestiques de la recourante dans son appréciation de sa capacité de travail, relevant qu’elle était capable de prendre soin d’elle-même ainsi que de son ménage et de s’adonner à la lecture. Elle a en outre relevé que la recourante n’avait pas montré d’incohérence au cours de l’examen clinique.</w:t>
      </w:r>
    </w:p>
    <w:p>
      <w:r>
        <w:rPr>
          <w:b/>
        </w:rPr>
        <w:t>E. 4.1.3</w:t>
      </w:r>
    </w:p>
    <w:p>
      <w:r>
        <w:t>Les conclusions de l’expertise sont ainsi globalement convaincantes, à tout le moins pour la date de celle-ci, mais elles ne sont pas assez précises, car les expertes ne se sont pas prononcées, ou pas clairement, sur l’évolution de la capacité de travail de la recourante depuis le début de son atteinte à la santé durable, soit du 21 avril 2015 à 2017. Le SMR a demandé à l’experte psychiatre un complément d’expertise, en relevant que les médecins traitants de la recourante avaient estimé en février 2017 qu’elle était capable de travailler à 30-50% (Dr J______) et que son état psychique s’était aggravé dès le 7 septembre 2016 suite à l’accident de son fils. II lui demandait de dire sur quels critères elle se fondait pour retenir une capacité totale depuis 2017. L’experte a répondu que depuis 2017, la recourante avait terminé ses suivis psychiatrique et médicaux et que l’évolution avait été favorable avec une stabilisation de l’humeur. Cette réponse est convaincante pour la période débutant en 2017. Le SMR aurait encore dû demander à l’experte psychiatre de se prononcer sur l’évolution de la capacité de travail de la recourante depuis le 17 mars 2014, soit le début du délai d’attente, en particulier sur les effets sur son état psychique de l’accident que son fils a subi en 2016. Les conclusions de l’expertise manquent en effet de précision pour cette période. L’experte psychiatre semble en effet retenir une atteinte sur le plan psychiatrique jusqu’en 2017 en lien avec un trouble dépressif récurrent, mais elle ne précise pas les limitations fonctionnelles liées à ce diagnostic. Cela ne suffit toutefois pas à ôter toute valeur probante à l’expertise, qui est globalement probante. Le SMR a correctement complété ce rapport le 18 novembre 2022, en retenant une capacité de travail de 50% dès le 22 avril 2015, sur la base de la motivation de l’experte psychiatre, en relevant que celle-ci avait indiqué que la recourante avait arrêté en 2015 de prendre un médicament antidépresseur et qu’elle avait montré des ressources, puisqu’elle s’était occupée de veiller à ce que son fils soit défendu au tribunal, faisait son ménage, lisait avec passion, s’occupait de son administration, se promenait avec son mari et pouvait recevoir des amis ou se rendre chez eux, échanger avec sa famille qui habitait en Valais et partir en vacances. Elle recevait en outre le soutien de ses fils et de son mari. Elle avait exprimé combien le fait d’être financièrement dépendante de son mari lui pesait et n’avait pas décrit de difficultés psychiatriques. Bien au contraire, elle avait exprimé l’absence de besoin de bénéficier d’un suivi psychiatrique psychothérapeutique intégré. La Dre F______ a exclu un syndrome douloureux somatoforme persistant et indiqué que la Dre A______ avait, le 9 novembre 2015, indiqué que la recourante était en incapacité de travail à 50% dès le 22 avril 2015. La Dre A______ a indiqué le 9 novembre 2015 que, durant l’été 2015, la mère de l’assurée était décédée, ce qui avait réactivé sa symptomatologie dépressive, sans retenir une incapacité de travail de plus de 50% suite à ce deuil, précisant que le diagnostic de réaction de deuil n’était pas incapacitant. Les éléments précités permettaient au SMR de retenir une capacité de travail de 50% de la recourante dès le 22 avril 2015. Celle-ci a confirmé, lors de son audition par-devant la chambre de céans, que lors du deuil de sa mère, l'aspect psychologique n'était pas prépondérant pour elle, qu’elle souhaitait travailler et pensait en être capable. Cela lui aurait permis de sortir de chez elle et de se changer les idées. Le décès de sa mère en septembre 2015 avait été un soulagement, car celle-ci était très malade et souffrait beaucoup. Il n'avait pas eu un impact important sur son état psychique. Elle avait arrêté le Cymbalta en été 2015 et ne l'avait pas repris après le décès de sa mère. La recourante a également déclaré à la chambre de céans que son fils cadet avait eu un grave accident en septembre 2016 et que cela avait été très difficile pour elle. Tout avait changé dans sa vie quotidienne sur le long terme, mais pendant une année particulièrement. Pendant toute cette période, elle était suivie par le Dr J______, mais elle n’avait pas repris d'antidépresseurs. Elle le voyait une fois par semaine et cela l'aidait de parler avec lui. Elle avait arrêté ce suivi pour des raisons financières et pour s'occuper de son fils. Ce n'était pas qu’elle se sentait mieux sur le plan psychique, selon elle. Elle voulait montrer sa présence à son fils. Son état psychique s’était amélioré à mesure que son fils allait mieux. Elle avait fait un travail avec son mari, à savoir qu’ils avaient pensé qu'il fallait qu’ils soient heureux car leur fils était en vie. Il résulte des déclarations de la recourante précitées qu’elle a gardé des ressources suite à l’accident de son fils, car elle a pu s’en occuper et que son état psychique ne s’est pas aggravé dans une mesure notable, puisqu’elle n’a pas repris d’antidépresseurs. C’est donc à juste titre que l’experte psychiatre et le SMR n’ont pas retenu une augmentation de son incapacité de travail en 2016 suite à cet évènement Cela est enfin également corroboré par le bilan final de stage d’orientation professionnelle du 22 janvier 2017, qui indique que son déroulement avait été difficile au début en raison des problèmes familiaux de la recourante, puis que la situation s'était améliorée. En matière de compétences sociales, celle-ci avait fait très bonne impression et elle s'était montrée très adaptable, quand bien même son fils était à l'hôpital. De plus, elle disait être très volontaire et motivée à retrouver du travail. La capacité de travail de 50% retenue du 22 avril 2015 jusqu’à 2017 n’est pas sérieusement remise en cause par le rapport du Dr J______ du 24 février 2017, qui mentionnait une capacité de travail partielle de 40% dès le 25 novembre 2016 en tenant compte des restrictions physiques dues à la fibromyalgie, soit un diagnostic ne relevant pas de ses compétences, et des restrictions psychiques, sans se prononcer sur la capacité de travail dans une activité adaptée. Elle n’est pas non plus remise ne cause par les rapports établis le 20 juillet 2015 et le 2 février 2017 par le Dr B______, qui retenait une incapacité totale de travailler de la recourante, du 10 avril 2014 au 1 er avril 2016, car celui-ci n’est pas spécialisé en psychiatrie et ne s’est pas prononcé sur la capacité de travail dans une activité adaptée. Les conclusions de l’intimé sur la capacité de travail de la recourante ne sont pas non plus remises en cause par la Dre I______ qui, dans son rapport du 4 août 2022, indiquait suivre les conclusions des expertes sur la capacité de travail de la recourante. En conclusion, c’est à juste titre que l’intimé a retenu, sur la base de l’avis du SMR du 18 novembre 2022 et de l’expertise du H______, que la recourante a été capable de travailler à 50% dans une activité adaptée d’avril 2015 jusqu’à 2017. Il en résulte que la décision de l’intimé doit être confirmée.</w:t>
      </w:r>
    </w:p>
    <w:p>
      <w:r>
        <w:rPr>
          <w:b/>
        </w:rPr>
        <w:t>E. 5</w:t>
      </w:r>
    </w:p>
    <w:p>
      <w:r>
        <w:t>Infondé, le recours sera rejeté. Un émolument de CHF 200.- sera mis à la charge de la recourante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