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A/3481/2023 vom 28. Januar 2025</w:t>
      </w:r>
    </w:p>
    <w:p>
      <w:r>
        <w:t>GE Cour de justice, 2025-01-28, FR</w:t>
      </w:r>
    </w:p>
    <w:p>
      <w:r>
        <w:rPr>
          <w:b/>
        </w:rPr>
        <w:t xml:space="preserve">Quelle: </w:t>
      </w:r>
      <w:r>
        <w:t>https://mcp.opencaselaw.ch/entscheid/ge_gerichte_A_3481_2023</w:t>
      </w:r>
    </w:p>
    <w:p>
      <w:r>
        <w:t>FR: GE_GERICHTE A/3481/2023 du 28 janvier 2025</w:t>
      </w:r>
    </w:p>
    <w:p>
      <w:r>
        <w:t>IT: GE_GERICHTE A/3481/2023 del 28 gennaio 2025</w:t>
      </w:r>
    </w:p>
    <w:p>
      <w:pPr>
        <w:pStyle w:val="Heading2"/>
      </w:pPr>
      <w:r>
        <w:t>Erwägungen</w:t>
      </w:r>
    </w:p>
    <w:p>
      <w:r>
        <w:rPr>
          <w:b/>
        </w:rPr>
        <w:t>E. 2</w:t>
      </w:r>
    </w:p>
    <w:p>
      <w:r>
        <w:t>Le litige porte sur la conformité au droit de la décision de l’OCPM de refuser de transmettre au SEM le dossier des recourants avec un préavis favorable et prononçant leur renvoi de Suisse.</w:t>
      </w:r>
    </w:p>
    <w:p>
      <w:r>
        <w:rPr>
          <w:b/>
        </w:rPr>
        <w:t>E. 2.1</w:t>
      </w:r>
    </w:p>
    <w:p>
      <w:r>
        <w:t>Aux termes de l’art. 30 al. 1 let. b LEI, il est possible de déroger aux conditions d’admission (art. 18 à 29 LEI) notamment dans le but de tenir compte des cas individuels d’une extrême gravité ou d’intérêts publics majeurs. L’art. 31 al. 1 de l’ordonnance relative à l'admission, au séjour et à l'exercice d'une activité lucrative du 24 octobre 2007 (OASA - RS 142.201)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(directives LEI ch. 5.6.10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 let. b), les compétences linguistiques (let. c), la participation à la vie économique ou l’acquisition d’une formation (let. 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2.2</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 ATA/756/2023 précité consid. 2.6).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w:t>
      </w:r>
    </w:p>
    <w:p>
      <w:r>
        <w:rPr>
          <w:b/>
        </w:rPr>
        <w:t>E. 2.3</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entrée en vigueur pour la Suisse le 26 mars 1997 ; arrêts du Tribunal fédéral 2A.679/2006 du 9 février 2007 consid. 3 et 2A.43/2006 du 31 mai 2006 consid. 3.1 ; arrêt du TAF C_3592/2010 du 8 octobre 2012 consid. 6.2 ; ATA/434/2020 du 31 avril 2020 consid. 10). 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w:t>
      </w:r>
    </w:p>
    <w:p>
      <w:r>
        <w:rPr>
          <w:b/>
        </w:rPr>
        <w:t>E. 2.4</w:t>
      </w:r>
    </w:p>
    <w:p>
      <w:r>
        <w:t>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ATA/506/2023 du 16 mai 2023 consid. 7.7 ; ATA/41/2022 du 18 janvier 2022 consid. 9).</w:t>
      </w:r>
    </w:p>
    <w:p>
      <w:r>
        <w:rPr>
          <w:b/>
        </w:rPr>
        <w:t>E. 2.5</w:t>
      </w:r>
    </w:p>
    <w:p>
      <w:r>
        <w:t>En l’espèce, les recourants reprochent au TAPI de ne pas avoir tenu compte de la durée de leur séjour en leur faveur. Le TAPI a tenu compte de ce que le recourant résidait en Suisse depuis février 2018 et la recourante et les enfants depuis octobre 2018. Il a reconnu qu’au moment où il prononçait son jugement, les recourants totalisaient, en tant que famille, plus de cinq ans de résidence en Suisse. Ce constat est en faveur des recourants. Cela étant, une fois posé, le TAPI a relativisé la portée du respect de cette condition, compte tenu que le séjour en Suisse des recourants s’était déroulé dans l’illégalité et a rappelé que la durée du séjour en Suisse n’était pas seule déterminante. Ce raisonnement ne souffre aucune critique. En effet, la durée du séjour ne constitue qu’une des conditions à remplir pour l’octroi d’une autorisation de séjour pour cas individuel d’extrême gravité. Le grief sera écarté.</w:t>
      </w:r>
    </w:p>
    <w:p>
      <w:r>
        <w:rPr>
          <w:b/>
        </w:rPr>
        <w:t>E. 2.6</w:t>
      </w:r>
    </w:p>
    <w:p>
      <w:r>
        <w:t>Les recourants soutiennent que leur intégration serait très réussie, ce dont le TAPI n’aurait pas tenu compte. Il n’est pas contesté que le recourant travaille comme peintre et la recourante désormais comme responsable d’affaires administratives, qu’ils sont autonomes financièrement, n’ont ni dettes ni poursuites et n’ont jamais émargé à l’aide sociale. Les recourants ont par ailleurs établi qu’ils maîtrisaient le français au degré requis et ils expliquent entretenir d’excellentes relations avec leur voisinage et être très attachés à la Suisse. Ces qualités peuvent cependant être attendues de toute personne désireuse de régulariser sa situation administrative en droit des étrangers et l’attachement à la Suisse et la création de liens personnels sont usuels pour un étranger séjournant depuis quelques années en Suisse. Ces qualités ne réalisent toutefois pas en l’espèce la condition du caractère exceptionnel de l’intégration exigé par la jurisprudence. À cela s’ajoute que le recourant a été condamné pénalement pour une violation de la LEI mais également pour un accident de la circulation commis en état d’ébriété qualifiée, ce qui ne dénote pas le respect des lois caractérisant une bonne intégration. Ni l’OCPM ni le TAPI n’ont commis d’abus de leur pouvoir d’appréciation en retenant que l’intégration des recourants ne possédait pas le caractère exceptionnel au sens de l’art. 30 al. 1 let. b LEI. Les recourants, encore jeunes, qui ont passé en Colombie toute leur enfance et leur jeunesse ainsi que le début de leur âge adulte, qui connaissent la langue et les codes culturels de leur pays et y ont sans doute encore de la famille, qui pourront y faire valoir leur maîtrise de la langue française et l’expérience professionnelle ainsi que la formation de maquilleuse acquises en Suisse, ne soutiennent pas pour le surplus que leur réintégration en Colombie se heurterait à des difficultés supérieures à celles rencontrées par des compatriotes placés dans une situation similaire.</w:t>
      </w:r>
    </w:p>
    <w:p>
      <w:r>
        <w:rPr>
          <w:b/>
        </w:rPr>
        <w:t>E. 2.7</w:t>
      </w:r>
    </w:p>
    <w:p>
      <w:r>
        <w:t>Les recourants reprochent à l’OCPM et au TAPI de ne pas avoir tenu compte de la durée et de la période de scolarisation des enfants, en ne prenant en considération que l’âge de C______. Le raisonnement de l’autorité est conforme à la jurisprudence rappelée plus haut, qui commande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Selon cette jurisprudence, un retour dans la patrie peut, en particulier, représenter une rigueur excessive pour des adolescents ayant suivi l’école durant plusieurs années et achevé leur scolarité avec de bons résultats. Tel n’est en l’espèce pas le cas de C______, née le ______ 2011 et âgée aujourd’hui de 13 ans : elle entre dans l’adolescence, se trouve au début du cycle secondaire de sa scolarité, dans une phase d’acquisition de connaissances générales, et ne peut se prévaloir d’avoir achevé avec succès sa scolarité ou une formation professionnelle. Les recourants soutiennent que les difficultés de leur fille et le cadre mis en place pour y répondre devraient être pris en compte pour ce critère. Tel n’est cependant pas le cas, les troubles et leur prise en charge ne renforçant pas l’intégration, et il sera vu plus loin que sous l’angle médical ils ne peuvent pas non plus fonder l’octroi d’une autorisation de séjour pour cas individuel d’extrême gravité. Le grief sera écarté.</w:t>
      </w:r>
    </w:p>
    <w:p>
      <w:r>
        <w:rPr>
          <w:b/>
        </w:rPr>
        <w:t>E. 2.8</w:t>
      </w:r>
    </w:p>
    <w:p>
      <w:r>
        <w:t>Les recourants reprochent à l’autorité d’avoir ignoré que le retour en Colombie entraînerait pour C______ la perte du suivi dont elle dépendait ainsi que du cadre et de ses repères, ce qui entraînerait un déracinement susceptible d’aggraver ses troubles mentaux. Selon eux, le TAPI n’aurait pas établi que son suivi pourrait être poursuivi en Colombie. C______ souffre d’un trouble du déficit de l’attention avec hyperactivité et impulsivité, ainsi que d’un problème de flexibilité mentale. Elle bénéficie en Suisse d’aménagements scolaires ainsi que d’un suivi thérapeutique et d’une aide éducative. Les recourants soutiennent que le retour en Colombie signifierait pour C______ la perte du suivi et du cadre dont elle bénéficie en Suisse. Ils ont pourtant eux-mêmes fait valoir le 1 er décembre 2023 que C______ bénéficiait depuis 2022, à raison d’une fois par semaine, d’un suivi à distance par la Dre G______, psychologue et neuropsychologue en Colombie. Ils ont certes expliqué dans leur réplique que cette prise en charge avait été interrompue dès lors que C______ était suivie à Genève. Cela étant, la prise en charge en Colombie pourrait être reprise en cas de retour. Ainsi, compte tenu de cet élément, il apparaît que le suivi psychothérapeutique de C______ pourra être poursuivi en Colombie, étant rappelé que la qualité éventuellement moindre des soins et du suivi à l’étranger par rapport à la Suisse ne constitue pas selon la jurisprudence un obstacle au renvoi, et que C______ sera accompagnée de ses parents et de sa sœur, qui lui apporteront leur soutien. Le grief sera écarté. C’est ainsi de manière conforme au droit que l’OCPM puis le TAPI ont estimé que les conditions à l’octroi d’autorisations de séjour pour cas individuels d’extrême gravité n’étaient pas réunies.</w:t>
      </w:r>
    </w:p>
    <w:p>
      <w:r>
        <w:rPr>
          <w:b/>
        </w:rPr>
        <w:t>E. 3</w:t>
      </w:r>
    </w:p>
    <w:p>
      <w:r>
        <w:t>Il reste à examiner si les conditions permettant l’exécution du renvoi des recourants sont remplies.</w:t>
      </w:r>
    </w:p>
    <w:p>
      <w:r>
        <w:rPr>
          <w:b/>
        </w:rPr>
        <w:t>E. 3.1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3.2</w:t>
      </w:r>
    </w:p>
    <w:p>
      <w:r>
        <w:t>En l’espèce, dès lors qu’il a, à juste titre, refusé l’octroi d’une autorisation de séjour aux recourants, l’intimé devait prononcer leur renvoi. Pour le surplus, aucun motif ne permet de retenir que l’exécution du renvoi ne serait pas possible, licite ou ne pourrait raisonnablement être exigée. En particulier, les troubles dont souffre C______ ne sont pas d’une gravité particulière et rien n’indique qu’ils ne pourraient être traités en Colombie, ainsi qu’il a été vu plus haut. Au vu de ce qui précède, le recours sera rejeté.</w:t>
      </w:r>
    </w:p>
    <w:p>
      <w:r>
        <w:rPr>
          <w:b/>
        </w:rPr>
        <w:t>E. 4</w:t>
      </w:r>
    </w:p>
    <w:p>
      <w:r>
        <w:t>Vu l’issue du litige, un émolument de CHF 400.- sera mis à la charge solidaire des recourants qui succombent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