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A/3480/2017 vom 25. März 2019</w:t>
      </w:r>
    </w:p>
    <w:p>
      <w:r>
        <w:t>GE Cour de justice, 2019-03-25, FR</w:t>
      </w:r>
    </w:p>
    <w:p>
      <w:r>
        <w:rPr>
          <w:b/>
        </w:rPr>
        <w:t xml:space="preserve">Quelle: </w:t>
      </w:r>
      <w:r>
        <w:t>https://mcp.opencaselaw.ch/entscheid/ge_gerichte_A_3480_2017</w:t>
      </w:r>
    </w:p>
    <w:p>
      <w:r>
        <w:t>FR: GE_GERICHTE A/3480/2017 du 25 mars 2019</w:t>
      </w:r>
    </w:p>
    <w:p>
      <w:r>
        <w:t>IT: GE_GERICHTE A/3480/2017 del 25 marzo 2019</w:t>
      </w:r>
    </w:p>
    <w:p>
      <w:pPr>
        <w:pStyle w:val="Heading2"/>
      </w:pPr>
      <w:r>
        <w:t>Erwägungen</w:t>
      </w:r>
    </w:p>
    <w:p>
      <w:r>
        <w:rPr>
          <w:b/>
        </w:rPr>
        <w:t>E. 10</w:t>
      </w:r>
    </w:p>
    <w:p>
      <w:r>
        <w:t>mai 2017 que le recourant estimait ne pas pouvoir exercer une quelconque activité, ne serait-ce que se soumettre à une mesure d’orientation professionnelle.![endif]&gt;![if&gt; 25.    Le 11 octobre 2017, le recourant a répliqué en soutenant qu’il incombait également aux experts d’indiquer dans quelle mesure et pour quelles activités la personne assurée était incapable de travailler. Dans le cas concret, il était dès lors de leur devoir et compétence d’indiquer qu’il n’existait pas d’activité adaptée pour le recourant. Quant à la comparaison entre médecins et spécialistes de l’orientation professionnelle à laquelle se livrait l’intimé, elle était sans pertinence puisque ces derniers ne s’occupaient de la réinsertion professionnelle qu’une fois la capacité de travail établie par les experts. ![endif]&gt;![if&gt; 26.    Entendu à l’audience de comparution personnelle des parties du 11 septembre 2018, le recourant a déclaré qu’il se sentait toujours très faible dans ses jambes, comme c’était le cas depuis 2014, sinon déjà depuis 2010. Il avait également des faiblesses dans le bras gauche et des problèmes de dos, en particulier dans la zone lombaire. Cela n’était pas le cas en permanence mais survenait parfois. Il avait subi, le 18 octobre 2017, une intervention de chirurgie bariatrique à la suite de laquelle il avait perdu 55 kg. Cette opération lui avait permis de se passer de son déambulateur et de sa canne après un mois. S’agissant de ses problèmes de dos, un médecin du CHUV lui avait fixé un rendez-vous au 12 septembre 2018 pour procéder à une infiltration. En cas d’échec de celle-ci, la question d’une opération du canal étroit serait étudiée, en recourant au besoin à une solution d’autotransfusion ou de circuit externe (hémodialyse) pour être en accord avec sa conscience (témoin de Jéhovah). S’agissant de la reprise d’une éventuelle activité professionnelle, il n’avait pas entrepris de recherches à ce stade car il restait dans l’attente des résultats de la prochaine infiltration pratiquée au CHUV et de l’issue de son litige avec l’intimé. ![endif]&gt;![if&gt; 27.    Par duplique du 24 octobre 2018, l’intimé a modifié ses conclusions en proposant de reconnaître au recourant le droit à une rente entière d’invalidité du 8 mars 2015 au 31 juillet 2018 mais en les maintenant pour le surplus, référence étant faite à l’avis SMR du 8 octobre 2018 de la doctoresse N_____. Après réexamen de toutes les pièces versées au dossier, ce médecin estimait que la capacité de travail dans une activité adaptée demeurait entière avec une baisse de rendement de 30 % mais que la date de début de l’aptitude à la réadaptation devait être corrigée à avril 2018 (à la place d’avril 2014), six mois après l’intervention de chirurgie bariatrique du 18 octobre 2017. ![endif]&gt;![if&gt; 28.    Le 13 novembre 2018, le recourant s’est dit partiellement d’accord avec la proposition de l’intimé, en ce sens que pour la période postérieure au 31 juillet 2018, il convenait de tenir compte non seulement de la baisse de rendement de 30 % mais aussi d’un abattement complémentaire dès lors que le recourant était âgé à ce jour de 57 ans, qu’il avait toujours travaillé dans le bâtiment, qu’il était ressortissant portugais au bénéfice d’un permis C mais s’exprimait cependant très mal en français. Par conséquent, c’était même d’une réduction supplémentaire de 20 % qu’il fallait tenir compte, ouvrant ainsi le droit à une demi-rente d’invalidité dès le 1 er août 2018.![endif]&gt;![if&gt; 29.    Le 29 novembre 2018, l’intimé a soutenu qu’un abattement n’avait pas lieu d’être dans le cas d’espèce. Il était vrai que lors de la première demande, la capacité de travail du recourant avait été fixée à 100 % dans une activité adaptée (rendement plein). Ainsi, un abattement de 10 % avait été retenu en raison des limitations fonctionnelles. En l’état, suite à la révision, la capacité de travail avait été fixée à 100 % mais avec une baisse de rendement de 30 % due précisément aux limitations fonctionnelles, raison pour laquelle il n’y avait pas lieu d’en tenir compte deux fois. Pour le reste, les autres facteurs d’abattement n’entraient pas en considération pour le recourant. ![endif]&gt;![if&gt; 30.    Le 18 décembre 2018, le recourant a informé la chambre de céans qu’il avait subi, le 11 décembre 2018, l’opération du dos évoquée à l’audience du 11 septembre 2018. Au vu de l’importante évolution intervenue sur le plan médical depuis le 26 juin 2017, date de la décision litigieuse, il se justifiait d’annuler ladite décision et de renvoyer la cause à l’intimé pour instruction complémentaire pour la période postérieure au 26 juin 2017.![endif]&gt;![if&gt; 31.    Le 11 janvier 2019, l'intimé s’est opposé au renvoi du dossier pour instruction complémentaire, motif pris que les arguments soulevés par le recourant concernant une éventuelle aggravation de son état de santé après la décision litigieuse devaient faire l’objet d’une procédure distincte à l’issue de laquelle une nouvelle décision administrative serait prise. ![endif]&gt;![if&gt; 32.    Le 17 janvier 2019, la chambre de céans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Déposé le 24 août 2017 contre la décision litigieuse du 26 juin 2017, reçue au plus tôt le lendemain, le recours a été interjeté en temps utile, étant relevé que le délai de recours était suspendu du 15 juillet au 15 août inclusivement (art. 38 al. 4 let. b LPGA ; art. 11 let. b LPFC ; art. 43B let. b LPCC). ![endif]&gt;![if&gt; Le recours satisfait, en outre, aux exigences de forme et de contenu prévues par l’art. 61 let. b LPGA. Il sera donc déclaré recevable. 4.        Il convient de déterminer préalablement l’objet du litige.![endif]&gt;![if&gt;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Selon l'art. 53 al. 3 LPGA, l'assureur peut reconsidérer une décision ou une décision sur opposition contre laquelle un recours a été formé jusqu'à l'envoi de son préavis à l'autorité de recours (reconsidération pendente lite). En l'occurrence, c’est après le premier échange d’écritures que l’intimée a considéré qu’il convenait de reporter le début de l’aptitude à la réadaptation du recourant au mois d’avril 2018 – en lieu et place d’avril 2014 dans la décision litigieuse – et qu’ainsi, le recourant avait droit à une rente entière d’invalidité du 8 mars 2015 au 31 juillet 2018. Ainsi, la voie de la reconsidération n'était plus ouverte et la nouvelle position de l’intimée, exprimée le 24 octobre 2018, doit être considérée comme une simple proposition faite au juge (ATF 109 V 234 consid. 2 ; arrêt du Tribunal fédéral 9C_159/2007 du 3 octobre 2007, consid. 2 ; Ueli KIESER, ATSG-Kommentar, 3 ème éd. 2015, n. 77 ad art. 53 LPGA). Aux termes de l'art. 61 let. d LPGA, le tribunal cantonal des assurances n'est pas lié par les conclusions des parties; il peut réformer, au détriment du recourant, la décision attaquée ou accorder à ce dernier plus qu'il n'avait demandé ; il doit cependant donner aux parties l'occasion de se prononcer ou de retirer le recours. Ceci étant précisé, le litige porte sur le point de savoir si le recourant a droit à une rente d’invalidité et, dans l’affirmative, au maintien de cette prestation au-delà du 31 juillet 2018. 5.        Selon l’art. 17 al. 1 LPGA, si le taux d’invalidité du bénéficiaire de la rente subit une modification notable, la rente est, d’office ou sur demande, révisée pour l’avenir, à savoir augmentée ou réduite en conséquence, ou encore supprimée.![endif]&gt;![if&gt; L’art. 17 al. 1 LPGA vise la situation dans laquelle une modification de l'état de fait déterminante sous l'angle du droit à la prestation (inexactitude ultérieure sur les faits) survient après le prononcé d'une décision initiale exempte d'erreur. Dans ce cas, une adaptation peut, le cas échéant, être effectuée dans le cadre d'une révision de la rente au sens de cette disposition (ATF 135 V 215 consid. 4.1; ATF 127 V 10 consid. 4b). 6.        a.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droits.![endif]&gt;![if&gt; b.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V108 ; ATF 130 V 71 ) pour apprécier si dans l'intervalle est intervenue une modification sensible du degré d'invalidité justifiant désormais l'octroi d'une rente. Il convient ici de relever que l’entrée en vigueur de l’art. 17 LPGA, le 1 er janvier 2003, n’a pas modifié les principes jurisprudentiels développés sous le régime de l’ancien art. 41 LAI, de sorte que ceux-ci demeurent applicables par analogie (ATF 130 V 343 consid. 3.5).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7.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9C_92/2016 du 29 juin 2016 consid. 5.1 et la référence).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prestations a été supprimée (ATF 141 V 5 consid. 4). Ces critères ne sont en revanche pas applicables lors de l’octroi initial d’une rente, peu importe qu’il s’agisse d’une rente échelonnée ou limitée dans le temps (arrêt du Tribunal fédéral 9C_324/2017 du 6 juillet 2017 consid. 4.3 ; Michel VALTERIO, Commentaire de la loi sur l’assurance-invalidité, p. 496, n. 8 ad art. 31 LAI). ![endif]&gt;![if&gt; 8.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b.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 er janvier 2013).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10.    En vertu de l’art. 28 al. 2 LAI, l’assuré a droit à une rente entière s’il est invalide à 70% au moins, à un trois-quarts de rente s'il est invalide à 60% au moins, à une demi-rente s’il est invalide à 50 %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LPGA.![endif]&gt;![if&gt; 12.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13.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pour déterminer s’il y a eu une modification notable du degré d’invalidité de la recourante, il convient de comparer la situation telle qu’elle se présentait au moment de la décision litigieuse, soit le 26 juin 2017, avec les circonstances qui prévalaient au moment de la décision du 14 novembre 2012. ![endif]&gt;![if&gt; a. Il ressort de l’instruction menée par l’intimé en amont de la décision du 14 novembre 2012 que même si le recourant était atteint d’une polyradiculonévrite avec douleurs neurogènes dans les membres inférieurs, d’un canal lombaire étroit constitutionnel avec lombalgies ainsi que d’un SAS sévère, il se justifiait, une fois ce syndrome traité avec succès en mai 2011, de reconnaître, dès juin 2011, une capacité de travail entière dans une activité privilégiant un travail semi-sédentaire sans port de charges ni position statique ou en porte-à-faux du rachis et ne requérant pas non plus la conduite d’un véhicule. b. Suite à la nouvelle demande de prestations formée le 8 septembre 2014, l’intimé a retenu, à l’appui de sa décision du 26 juin 2017 – qui était fondée sur l’avis du SMR du 21 mars 2017 – que l’état de santé du recourant s’était certes aggravé depuis la décision de refus de prestations du 14 novembre 2012, en ce sens qu’elle justifiait, dès avril 2014, en raison de douleurs neurogènes et de troubles de la vigilance, une diminution de rendement de 30 % dans une activité à plein temps de préférence légère et sédentaire, permettant une alternance des positions, sans port de charges ni porte-à-faux du rachis, ni position statique prolongée, ni conduite automobile, ni travail nécessitant une attention soutenue. En d’autres termes, bien que le SMR ait fait siens les diagnostics incapacitants (lombo-sciatalgies bilatérales, à prédominance L5-S1 gauche avec claudication neurogène des membres inférieurs sur un canal lombaire étroit étagé dégénératif ; troubles du sommeil associés à une condition médicale défavorable) et sans influence sur la capacité de travail retenus par les experts de la CRR, il n’a pas suivi les conclusions de ces derniers pour autant, motif pris que les experts, en indiquant qu’ils ne voyaient pas vers quelle activité le recourant pourrait se diriger, auraient empiété sur les compétences des spécialistes en réadaptation chargés de la réinsertion professionnelle. c. Fondée sur l'ensemble du dossier, retraçant une anamnèse fouillée et tenant compte des plaintes du recourant, cette expertise comporte un status objectif détaillé et nuancé et des indications précises sur les modifications de l'état de santé qui se sont produites depuis la décision initiale du 14 novembre 2012 et ont conduit à une atteinte significative à la santé physique du recourant, permettant aux experts de conclure, de façon motivée et convaincante, à un état de santé non stabilisé et à une incapacité de travail totale tant que les interventions de chirurgie bariatrique et du canal lombaire étroit (dans lesquelles les experts de la CRR voyaient un potentiel de récupération et une amélioration significative du pronostic fonctionnel) n’auraient pas été pratiquées. Dans ces circonstances, et quoi qu’en dise le SMR dans son avis du 21 mars 2017, le fait que les experts ne voient pas vers quelle activité le recourant pourrait se diriger équivaut simplement à porter un jugement sur son état de santé et à indiquer les motifs pour lesquels une quelconque capacité de travail ne saurait être retenue en l’état, ce qui n’outrepasse en rien le rôle attendu d’un expert médical (cf. ci-dessus : consid. 12). En conséquence, l’avis précité n’est pas de nature à remettre en cause la valeur probante du rapport d’expertise de la CRR du 13 février 2017. Par conséquent, la chambre de céans considérera qu’il est établi, au degré de la vraisemblance prépondérante, que l’état de santé du recourant s’est aggravé en avril 2014, entrainant, depuis lors, une incapacité de travail complète dans toute activité. Le recourant n’ayant subi les interventions de chirurgie bariatrique et du dos que le 18 octobre 2017, respectivement le 11 décembre 2018, c’est à tort que la décision litigieuse est partie du principe qu’il existait, dès avril 2014, dans une activité adaptée, une capacité de travail entière assortie d’une baisse de rendement de 30 %. d. Par duplique du 24 octobre 2018, l’intimé a modifié ses conclusions en proposant de reconnaître au recourant le droit à une rente entière d’invalidité du 8 mars 2015 au 31 juillet 2018, compte tenu d’une aptitude à la réadaptation reportée à avril 2018 (en lieu et place d’avril 2014), soit six mois après l’intervention chirurgicale du 18 octobre 2017. En revanche, à compter du 1 er août 2018, il convenait de s’en tenir à l’exigibilité de l’exercice d’une activité adaptée à plein temps avec une baisse de rendement de 30 %, référence étant faite à l’avis SMR du 8 octobre 2018 de la Dresse N_____. Au regard des explications fournies par les experts de la CRR à l’appui de leurs conclusions – en particulier des interventions chirurgicales dont ils escomptaient une amélioration significative du pronostic fonctionnel –, mais aussi de l’évolution favorable de l’état de santé du recourant depuis le 18 octobre 2017, rapportée à l’audience de comparution personnelle des parties du 11 septembre 2018, la chambre de céans est d’avis qu’il y a lieu de se fonder sur les conclusions motivées du SMR, dans leur teneur modifiée au 8 octobre 2018, d’autant qu’elles ne sont ni contestées par le recourant ni remises en cause par un avis médical dissident qui pourrait également se voir reconnaître valeur probante. Il convient ainsi, sur proposition de l’intimé, de tenir compte des faits survenus postérieurement à la décision litigieuse, soit jusqu’au mois d’avril 2018 et, partant, de considérer en application de l’art. 88a al. 1 RAI que le recourant disposait, dès août 2018, d’une capacité de travail entière dans une activité adaptée, assortie d’une diminution de rendement de 30 %. Pour le reste, il n’est pas contesté – et n’apparaît pas contestable – que dans la mesure où le recourant n’a déposé sa nouvelle demande de prestations que le 8 septembre 2014, le droit à une rente entière d’invalidité ne pouvait naître qu’à compter du 8 mars 2015, soit à l’échéance d’une période de six mois (art. 29 al. 1 LAI) mais qu’au vu de l’évolution favorable survenue depuis le 18 octobre 2017, il ne pouvait se maintenir au-delà du 31 juillet 2018. 15.    Reste à déterminer si comme il le soutient, le recourant pourrait prétendre en sus à l’allocation d’une demi-rente d’invalidité dès le 1 er août 2018. Pour ce faire, il convient de déterminer le degré d’invalidité en procédant à une comparaison des revenus tenant compte des modifications – susceptibles d’influencer le droit à la rente – que ceux-ci ont connues jusqu’à la date de la décision (cf. ATF 129 V 222 et ATF 128 V 174 ), soit, dans le cas particulier, jusqu’au 24 octobre 2018, date de la modification des conclusions de l’intimé sur la base de faits postérieurs à la décision. En tant qu’elle concerne la modification des revenus, la prise en compte de l’évolution intervenue jusqu’en 2018 se heurte cependant à une difficulté d’ordre pratique au moment de la rédaction du présent arrêt, à savoir l’absence de statistiques relatives notamment à l’indexation des salaires en 2018, raison pour laquelle la chambre de céans s’en tiendra à l’évolution des revenus jusqu’en 2017, année de la décision litigieuse (cf. ci-après : consid. 16b). ![endif]&gt;![if&gt; 16.    a.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![endif]&gt;![if&gt;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l’espèce, le recourant n’a pas repris d’activité professionnelle depuis le 31 mai 2011, date à laquelle son contrat de travail a pris fin. Aussi convient-il de déterminer le revenu d’invalide en se référant à l’enquête suisse sur la structure des salaires (ESS 2014), plus précisément au tableau TA1, tirage skill-level, secteur privé, ligne « total ». Il en ressort qu’un homme exerçant à plein temps une activité de niveau 1 peut réaliser un revenu de CHF 5'312.- par mois (CHF 63'744.- par année). Étant donné que les salaires bruts standardisés tiennent compte d’un horaire de quarante heures, soit d’une durée hebdomadaire de travail inférieure à la moyenne usuelle dans les entreprises en 2017 (41.7 heures par semaine ; Office fédéral de la statistique – statistique de la durée normale du travail dans les entreprises, DNT), ce montant doit être porté à CHF 66'453.- (63'744 x 41.7 / 40) puis à CHF 67'321.-, une fois indexé à 2017 selon l’évolution des salaires nominaux (ISS en 2014 : 2'220, et 2017 : 2'249 ; soit 66'453 x 2'249 / 2'220). Compte tenu du taux d’activité médicalement exigible de 100 % et de la diminution de rendement de 30 %, le revenu annuel brut avec invalidité s’élève à CHF 47'125.- (soit 67'321 x 70 / 100). c. Le recourant fait valoir qu’il y aurait lieu de tenir compte, en outre, d’un abattement de 10 voire 20 %, dès lors qu’il est âgé de 57 ans, a toujours travaillé dans le bâtiment, est ressortissant portugais au bénéfice d’un permis C mais s’exprime très mal en français. Il est vrai que le recourant demeure atteint dans sa santé au 1 er août 2018. Cependant, il ne saurait être question de tenir compte des limitations fonctionnelles qui en découlent une seconde fois (sous forme d’abattement) puisque le SMR en a tenu compte une première fois dans son avis du 8 octobre 2018 en retenant une diminution de rendement de 30 % (cf. arrêt du Tribunal fédéral 8C_322/2015 du 16 juin 2015 consid. 3.2.2).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Quant aux facteurs se rapportant à la nationalité, à la catégorie d'autorisation de séjour ou au taux d'occupation, ils ne sont pas pertinents non plus. En effet, le recourant est titulaire d’un permis C (cf. arrêt du Tribunal fédéral 9C_777/2015 du 12 mai 2016 consid. 5.3 et les références) et sa capacité de travail est entière à compter du 1 er août 2018. Enfin, le critère de l’âge ne constitue pas en soi un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les arrêts du Tribunal fédéral 8C_403/2017 du 25 août 2017 consid. 4.4.1 et 8C_805/2016 du 22 mars 2017 consid. 3.4.3). À l'inverse, dans un autre arrêt récent rendu en matière d'assurance-invalidité ( 9C_470/2017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l’espèce, le point de savoir s’il convient d’accorder un abattement de 10 % en raison de l’âge du recourant souffre de rester indécis, une telle réduction ne permettant pas de prétendre au maintien d’une rente d’invalidité – ne serait-ce qu’à concurrence d’un quart de rente – à compter du 1 er août 2018. En effet, même si l’on mettait le recourant au bénéfice d’une telle réduction, la comparaison entre le revenu d’invalide ainsi réduit (CHF 42'413.-, soit CHF 47'125.- x 90 / 100) et le revenu sans invalidité indexé à 2017 selon l’évolution des salaires nominaux depuis 2010 (CHF 65'173.-, soit CHF 62'304.- x 2'249 / 2'150) aboutirait à une perte de gain de CHF 22'760.- correspondant à un degré d’invalidité de 34.9 %, soit : (65'173 – 42'413) x 100 / 65'173. En conséquence, la décision litigieuse sera réformée en ce sens que le recourant a droit à une rente entière d’invalidité du 8 mars 2015 au 31 juillet 2018. 17.    Compte tenu de ce qui précède, le recours est partiellement admis au sens des considérants.![endif]&gt;![if&gt; La procédure de recours en matière de contestations portant sur l’octroi ou le refus de prestations de l’assurance-invalidité étant soumise à des frais de justice (art. 69 al. 1 bis LAI), un émolument de CHF 200.- sera mis à la charge de l’intimé. Représenté par un conseil et obtenant partiellement gain de cause, le recourant a droit à une indemnité de CHF 2'000.- à titre de dépens (art. 61 let. g LPGA et 89H al. 3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