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A/347/2022 vom 4. Juli 2022</w:t>
      </w:r>
    </w:p>
    <w:p>
      <w:r>
        <w:t>GE Cour de justice, 2022-07-04, FR</w:t>
      </w:r>
    </w:p>
    <w:p>
      <w:r>
        <w:rPr>
          <w:b/>
        </w:rPr>
        <w:t xml:space="preserve">Quelle: </w:t>
      </w:r>
      <w:r>
        <w:t>https://mcp.opencaselaw.ch/entscheid/ge_gerichte_A_347_2022</w:t>
      </w:r>
    </w:p>
    <w:p>
      <w:r>
        <w:t>FR: GE_GERICHTE A/347/2022 du 4 juillet 2022</w:t>
      </w:r>
    </w:p>
    <w:p>
      <w:r>
        <w:t>IT: GE_GERICHTE A/347/2022 del 4 luglio 2022</w:t>
      </w:r>
    </w:p>
    <w:p>
      <w:pPr>
        <w:pStyle w:val="Heading2"/>
      </w:pPr>
      <w:r>
        <w:t>Erwägungen</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6.1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6.1.1</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![endif]&gt;![if&gt;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ATF 135 V 465 consid. 4).</w:t>
      </w:r>
    </w:p>
    <w:p>
      <w:r>
        <w:rPr>
          <w:b/>
        </w:rPr>
        <w:t>E. 6.1.2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6.1.3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références).![endif]&gt;![if&gt;</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ATF 125 V 193 consid. 2 et les références). Aussi n’existe-t-il pas, en droit des assurances sociales, un principe selon lequel l’administration ou le juge devrait statuer, dans le doute, en faveur de l’assuré (ATF 126 V 319 consid. 5a).![endif]&gt;![if&gt;</w:t>
      </w:r>
    </w:p>
    <w:p>
      <w:r>
        <w:rPr>
          <w:b/>
        </w:rPr>
        <w:t>E. 8</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1ère phrase, LAA).![endif]&gt;![if&gt;</w:t>
      </w:r>
    </w:p>
    <w:p>
      <w:r>
        <w:rPr>
          <w:b/>
        </w:rPr>
        <w:t>E. 9</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 ATF 126 V 75 consid. 3b/aa). ![endif]&gt;![if&gt;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 cf. aussi arrêt 9C_644/2015 du 3 mai 2016 consid. 4.3.1).</w:t>
      </w:r>
    </w:p>
    <w:p>
      <w:r>
        <w:rPr>
          <w:b/>
        </w:rPr>
        <w:t>E. 10</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174).![endif]&gt;![if&gt;</w:t>
      </w:r>
    </w:p>
    <w:p>
      <w:r>
        <w:rPr>
          <w:b/>
        </w:rPr>
        <w:t>E. 10.1</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référence).![endif]&gt;![if&gt;</w:t>
      </w:r>
    </w:p>
    <w:p>
      <w:r>
        <w:rPr>
          <w:b/>
        </w:rPr>
        <w:t>E. 10.2</w:t>
      </w:r>
    </w:p>
    <w:p>
      <w:r>
        <w:t>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ou sur les données salariales résultant des DPT établies par la CNA (ATF 135 V 297 consid. 5.2 ; ATF 129 V 472 consid. 4.2.1).![endif]&gt;![if&gt;</w:t>
      </w:r>
    </w:p>
    <w:p>
      <w:r>
        <w:rPr>
          <w:b/>
        </w:rPr>
        <w:t>E. 10.3</w:t>
      </w:r>
    </w:p>
    <w:p>
      <w:r>
        <w:t>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A cet égard, L’ESS 2018 a été publiée le 21 avril 2020.![endif]&gt;![if&gt; Dans un arrêt de principe, le Tribunal fédéral a estimé qu’il n’existe pas de motifs sérieux et objectifs justifiant une modification de sa jurisprudence relative à l’application des ESS dans le cadre de la détermination du degré d’invalidité des assurés (arrêt du Tribunal fédéral 8C_256/2021 du 9 mars 2022, destiné à la publication).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147 V 178 consid. 1.3 ; ATF 135 V 297 consid. 5.2),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 cf. arrêts du Tribunal fédéral 8C_661/2018 du 28 octobre 2019 consid. 3.3.4.2. et 8C_122/2019 du 10 septembre 2019 consid. 4.3.2 et les références citées). Depuis la 10 e édition des ESS (ESS 2012), les emplois sont classés par l'Office fédéral de la statistique (OFS) par profession en fonction du type de travail qui est généralement effectué. L'accent est ainsi mis sur le type de tâches que la personne concernée est susceptible d'assumer en fonction de ses qualifications (niveau de ses compétences) et non plus sur les qualifications en elles-mêmes. Quatre niveaux de compétence ont été définis en fonction de neuf groupes de profession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(notamment les techniciens, les superviseurs, les courtiers ou encore le personnel infirmier). Le niveau 2 se réfère aux tâches pratiques telles que la vente, les soins, le traitement des données, les tâches administratives, l'utilisation de machines et d'appareils électroniques, les services de sécurité et la conduite de véhicules (arrêt du Tribunal fédéral 9C_370/2019 du 10 juillet 2019 consid. 4.1 et les références).</w:t>
      </w:r>
    </w:p>
    <w:p>
      <w:r>
        <w:rPr>
          <w:b/>
        </w:rPr>
        <w:t>E. 11</w:t>
      </w:r>
    </w:p>
    <w:p>
      <w:r>
        <w:t>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 ère phrase); elle ne doit pas excéder le montant maximum du gain annuel assuré à l'époque de l'accident et elle est échelonnée selon la gravité de l'atteinte à l'intégrité (al. 1, 2 ème phrase). Elle est également versée en cas de maladie professionnelle (cf. art. 9 al. 3 LAA). Le Conseil fédéral édicte des prescriptions détaillées sur le calcul de l'indemnité (al. 2).![endif]&gt;![if&gt;</w:t>
      </w:r>
    </w:p>
    <w:p>
      <w:r>
        <w:rPr>
          <w:b/>
        </w:rPr>
        <w:t>E. 11.1</w:t>
      </w:r>
    </w:p>
    <w:p>
      <w:r>
        <w:t>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médico-théorique de l’atteinte physique ou mentale, abstraction faite des facteurs subjectifs (ATF 115 V 147 consid. 1 ; ATF 113 V 218 consid. 4b et les références ; voir aussi ATF 125 II 169 consid. 2d).![endif]&gt;![if&gt;</w:t>
      </w:r>
    </w:p>
    <w:p>
      <w:r>
        <w:rPr>
          <w:b/>
        </w:rPr>
        <w:t>E. 11.2</w:t>
      </w:r>
    </w:p>
    <w:p>
      <w:r>
        <w:t>Selon l’art. 36 OLAA édicté conformément à la délégation de compétence de l’art. 25 al. 2 LAA, une atteinte à l'intégrité est réputée durable lorsqu'il est prévisible qu'elle subsistera avec au moins la même gravité pendant toute la vie (al. 1, 1 ère phrase) ; elle est réputée importante lorsque l'intégrité physique ou mentale subit, indépendamment de la diminution de la capacité de gain, une altération évidente ou grave (al. 1, 2 ème phrase). L’indemnité pour atteinte à l'intégrité est calculée selon les directives figurant à l'annexe 3 à l'OLAA (al. 2). En cas de concours de plusieurs atteintes à l'intégrité physique ou mentale, dues à un ou plusieurs accidents, l'indemnité pour atteinte à l'intégrité est fixée d'après l'ensemble du dommage (al. 3, 1 ère phrase).![endif]&gt;![if&gt; Cette disposition a été jugée conforme à la loi en tant qu'elle définit le caractère durable de l'atteinte (ATF 133 V 224 consid. 2 ; arrêt du Tribunal fédéral des assurances U 401/06 du 12 janvier 2007 consid. 2.2). Le caractère durable de l'atteinte doit être à tout le moins établi au degré de la vraisemblance prépondérante (ATF 124 V 29 consid. 4b/cc). Quant au caractère important de l'atteinte, le ch. 1 de l'annexe 3 à l'OLAA précise que les atteintes à l'intégrité qui sont inférieures à 5% selon le barème ne donnent droit à aucune indemnité. Il faut en conclure qu'une atteinte est réputée importante si elle atteint au moins ce pourcentage (Thomas FREI et Juerg P. BLEUER, Évaluation d'atteintes à l'intégrité multiples, in SUVA Medical 2012, p. 202). Le taux d'une atteinte à l'intégrité doit être évalué exclusivement sur la base de constatations médicales (ATF 115 V 147 consid. 1 ; ATF 113 V 218 consid. 4b ; RAMA 2004 p. 415 ; arrêt du Tribunal fédéral des assurances U 134/03 du 12 janvier 2004 consid. 5.2).</w:t>
      </w:r>
    </w:p>
    <w:p>
      <w:r>
        <w:rPr>
          <w:b/>
        </w:rPr>
        <w:t>E. 11.3</w:t>
      </w:r>
    </w:p>
    <w:p>
      <w:r>
        <w:t>L’annexe 3 à l'OLAA comporte un barème – reconnu conforme à la loi et non exhaustif (ATF 113 V 218 consid. 2a ; RAMA 1988 p. 236) – des lésions fréquentes et caractéristiques, évaluées en pour cent (ATF 124 V 209 consid. 4bb).![endif]&gt;![if&gt; L'indemnité allouée pour les atteintes à l'intégrité énumérées à cette annexe est fixée, en règle générale, en pour cent du montant maximum du gain assuré (ch. 1 al. 1 de l'annexe 3). Pour les atteintes à l'intégrité spéciales ou qui ne figurent pas dans la liste, le barème est appliqué par analogie, en fonction de la gravité de l'atteinte. On procédera de même lorsque l’assuré présente simultanément plusieurs atteintes à l’intégrité physique, mentale ou psychique. Les atteintes à l’intégrité pour lesquelles un taux inférieur à 5% serait appliqué selon le barème ne donnent droit à aucune indemnité. Les atteintes à l’intégrité sont évaluées sans les moyens auxiliaires – à l’exception des moyens servant à la vision (ch. 1 al. 2 de l'annexe 3). La perte totale de l’usage d’un organe est assimilée à la perte de celui-ci. En cas de perte partielle d’un organe ou de son usage, l’indemnité pour atteinte à l’intégrité est réduite en conséquence; toutefois aucune indemnité ne sera versée dans les cas où un taux inférieur à 5 % du montant maximum du gain assuré serait appliqué (ch. 2 de l'annexe 3).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 SVR 2001 IV n. 10 p. 28 consid. 4b), la jurisprudence rendue sous l’empire de l’art. 4 aCst étant toujours valable (ATF 124 V 90 consid. 4b, ATF 122 V 157 consid. 1d).![endif]&gt;![if&gt;</w:t>
      </w:r>
    </w:p>
    <w:p>
      <w:r>
        <w:rPr>
          <w:b/>
        </w:rPr>
        <w:t>E. 13</w:t>
      </w:r>
    </w:p>
    <w:p>
      <w:r>
        <w:t>En l’espèce, concernant tout d’abord la capacité de travail résiduelle du recourant, le médecin d’arrondissement de l’intimée a considéré qu’au vu des atteintes à la santé résultant de l’accident, il n’était plus possible au recourant d’exercer son activité habituelle de parqueteur à plein temps et sans perte de rendement. Celle-ci était incompatible avec les limitations fonctionnelles retenues, soit : le soulèvement et la manutention d’objets de plus de 5 kg avec le membre supérieur gauche, le serrage ou leur maintien en serrage d’objets de plus de 5 kg, le soulèvement et la manutention d’objets de plus de 13 kg, avec les deux mains, la gauche servant de point d’appui ou d’accompagnement. ![endif]&gt;![if&gt; Ni le recourant, ni son médecin ne critiquent les limitations fonctionnelles retenues par le Dr E______, lesquelles sont d’ailleurs conformes aux éléments médicaux figurant au dossier. Ils ne contestent pas non plus que, du fait de ces dernières, l’activité habituelle est désormais impossible à plein temps et à plein rendement. À cet égard, le Dr G______ la considère possible à un taux maximum de 50% et avec une diminution de rendement de 20%, contre un taux de 100% avec une diminution de rendement de 20% selon le médecin de l’intimée. La chambre de céans considère qu’il est donc établi (et au demeurant admis par les parties), au vu notamment des avis des divers documents médicaux au dossier, que le recourant fait face, au strict minimum, à une diminution de rendement de 20%, dans l’exercice de son activité habituelle. C’est ainsi à juste titre que l’intimée a examiné la capacité de travail et de rendement du recourant dans une activité autre, adaptée à ses limitations fonctionnelles.</w:t>
      </w:r>
    </w:p>
    <w:p>
      <w:r>
        <w:rPr>
          <w:b/>
        </w:rPr>
        <w:t>E. 13.1</w:t>
      </w:r>
    </w:p>
    <w:p>
      <w:r>
        <w:t>Au terme de l’examen de son médecin d’arrondissement, l’intimée a considéré que le recourant disposait, dans une activité légère adaptée à ses limitations fonctionnelles, d’une pleine capacité de travail sans perte de rendement. Une telle activité serait en outre exigible de sa part au vu de son obligation de diminuer son dommage. En revanche, le recourant considère que l’intimée ne saurait exiger de lui, vu notamment son âge, qu’il diminue son dommage par la prise d’une activité adaptée à temps complet. Il conteste en outre que son état de santé lui permette d’effectuer une telle activité sans limitation de rendement.![endif]&gt;![if&gt;</w:t>
      </w:r>
    </w:p>
    <w:p>
      <w:r>
        <w:rPr>
          <w:b/>
        </w:rPr>
        <w:t>E. 13.1.1</w:t>
      </w:r>
    </w:p>
    <w:p>
      <w:r>
        <w:t>Concernant le premier grief, comme l’intimée le relève à juste titre, l’assuré était uniquement âgé de 54 ans lors de l’examen du droit à la rente, soit un âge largement inférieur à celui à partir duquel la jurisprudence considère généralement qu’il n’existe plus de possibilité réaliste de mise en valeur de la capacité résiduelle de travail sur un marché de l’emploi équilibré (ATF 143 V 431 consid. 4.5.2). ![endif]&gt;![if&gt; Il apparaît ainsi exigible de sa part qu'il change d'activité professionnelle, ce d'autant plus que, comme l'a confirmé le Tribunal fédéral à plusieurs reprises, il existe suffisamment d'opportunités réalistes sur un marché du travail équilibré pour les personnes qui ne peuvent exercer que des travaux légers de type mono-manuel, à l'instar de simples activités de surveillance, d'essais et d'inspection, ainsi que du fonctionnement et de la surveillance de machines (semi-) automatiques ou d'unités de production qui ne nécessitent pas l'utilisation des deux bras et des deux mains (arrêts du Tribunal fédéral 9C_124/2019 du 28 mai 2019 consid. 3.2 ; 8C_811/2018 du 10 avril 2019 consid. 4.4.2 ; 8C_227/2018 du 14 juin 2018 consid. 4.2.1 ; 8C_37/2016 du 8 juillet 2016 consid. 5.1.2 ; 8C_670/2015 du 12 février 2016 consid. 4.3 ; 8C_939/2011 du 13 février 2012 consid. 4.3 ; 8C_819/2010 du 7 avril 2011 consid. 6.4.1 ; 8C_971/2008 du 23 mars 2009 consid. 3.3 ; 8C_810/2009 du 3 mars 2010 consid 2.6.4). On retiendra en outre que le recourant est droitier et qu’il n’est pas entièrement privé mais uniquement limité de l’usage de sa main gauche, comme cela ressort des limitations fonctionnelles retenues.</w:t>
      </w:r>
    </w:p>
    <w:p>
      <w:r>
        <w:rPr>
          <w:b/>
        </w:rPr>
        <w:t>E. 13.1.2</w:t>
      </w:r>
    </w:p>
    <w:p>
      <w:r>
        <w:t>Pour ce qui est du second grief, à savoir que son état de santé ne permettrait pas au recourant d’effectuer à plein temps une activité adaptée aux limitations fonctionnelles retenues, il n’est pas motivé par le moindre élément médical au dossier. À nouveau, les limitations fonctionnelles dont il est question ne sont critiquées ni par le recourant, ni par son médecin traitant. En outre, les seules réserves que ce dernier mentionne dans ses rapports, soit la faible force de serrage de la main gauche (18 kg contre 48 kg à droite) et le risque d’une utilisation compensatrice du bras dominant, concernent l’activité habituelle. Ces restrictions ne sauraient constituer des limitations de la capacité de travail du recourant dans le cadre d’activités légères, telles que celles listées préalablement, ce d’autant moins que la main dominante n’est pas affectée. Il n’y a donc aucun motif objectif permettant de douter des conclusions du Dr E______ et c’est donc à juste titre que l’intimée a admis, sur cette base, que le recourant était bien capable de travailler à plein temps et sans perte de rendement, dans une activité adaptée.![endif]&gt;![if&gt; À cet égard, la chambre de céans renoncera, par appréciation anticipée des preuves, à l’audition du Dr G______. En effet, vu la nature des lésions et le contenu des rapports médicaux figurant au dossier, il apparait clairement que le recourant n’est nullement restreint, pour des raisons de santé, dans sa capacité à exercer une activité légère de type mono-manuel à plein temps et sans diminution de rendement.</w:t>
      </w:r>
    </w:p>
    <w:p>
      <w:r>
        <w:rPr>
          <w:b/>
        </w:rPr>
        <w:t>E. 14</w:t>
      </w:r>
    </w:p>
    <w:p>
      <w:r>
        <w:t>Pour le surplus, la comparaison des revenus à laquelle a procédé l’intimée n’est pas critiquable. Ainsi, le gain de valide correspond au revenu concret de l’assuré pour 2020, lequel serait resté identique en 2021 selon la déclaration écrite de l’employeur (pièce 162 intimée). Quant au revenu d’invalide, il a été calculé sur la base du tableau TA1_skill_level de l’ESS 2018 relatif au salaire versé en 2018 à un homme dans le secteur privé, avec un niveau de compétence 1, correspondant à des tâches physiques ou manuelles simples et ne nécessitant aucune formation particulière. Ce revenu a ensuite été ajusté en fonction de la moyenne des heures travaillées en Suisse et de l’indexation des salaires nominaux. Enfin, un abattement de 5% a été appliqué pour tenir compte des limitations fonctionnelles. ![endif]&gt;![if&gt;</w:t>
      </w:r>
    </w:p>
    <w:p>
      <w:r>
        <w:rPr>
          <w:b/>
        </w:rPr>
        <w:t>E. 14.1</w:t>
      </w:r>
    </w:p>
    <w:p>
      <w:r>
        <w:t>Seul cet abattement semble d’ailleurs être remis en question par le recourant, qui le considère comme insuffisant au vu des circonstances, notamment l’âge, l’absence de formation et l’ampleur des limitations fonctionnelles. ![endif]&gt;![if&gt; S’agissant du critère de l’âge, la chambre de céans ne voit pas en quoi les perspectives salariales de l’assuré, âgé de 54 ans, seraient concrètement réduites sur un marché du travail équilibré, surtout dans le domaine des emplois non qualifiés qui sont, en règle générale, disponibles indépendamment de l’âge de l’intéressé. Quant à l’absence d’expérience et de formation, elle ne joue pas de rôle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(cf. arrêts du Tribunal fédéral 8C_118/2021 précité consid. 6.3.2 ; 8C_175/2020 du 22 septembre 2020 consid. 4.2). Enfin, pour ce qui est de l’impact des limitations fonctionnelles sur les perspectives de gain du recourant, il sied de rappeler que l’assuré n’est pas dans la situation d’un mono-manuel, dès lors que sa main gauche (non dominante) conserve une fonction de stabilisation et permet le serrage d’objet ou le maintien en serrage dans le porter jusqu’à 5 kg, le soulèvement et la manutention d’objets jusqu’à 13 kg avec les deux mains si la main gauche est utilisée en appui ou en accompagnement. En toute hypothèse, la chambre de céans relève que, même si l’abattement venait à être augmenté à 20%, comme le recourant semble le requérir, le revenu d’invalide s’élèverait CHF 55'415.- et le taux d’invalidité à 5.18%. Il demeurerait donc inférieur aux 10% nécessaires à l’ouverture du droit à une rente.</w:t>
      </w:r>
    </w:p>
    <w:p>
      <w:r>
        <w:rPr>
          <w:b/>
        </w:rPr>
        <w:t>E. 14.2</w:t>
      </w:r>
    </w:p>
    <w:p>
      <w:r>
        <w:t>Au vu de l’ensemble de ces éléments, il appert que la comparaison des revenus et, partant, le calcul du taux d’invalidité opéré par l’intimée est conforme au droit et que c’est à juste titre que le droit à une rente invalidité a été nié au recourant.![endif]&gt;![if&gt;</w:t>
      </w:r>
    </w:p>
    <w:p>
      <w:r>
        <w:rPr>
          <w:b/>
        </w:rPr>
        <w:t>E. 15</w:t>
      </w:r>
    </w:p>
    <w:p>
      <w:r>
        <w:t>Concernant ensuite l’IPAI, le recourant estime qu’elle devrait être fondée sur un taux d’atteinte à l’intégrité de 10% et non pas seulement les 5% retenus par l’intimée. ![endif]&gt;![if&gt;</w:t>
      </w:r>
    </w:p>
    <w:p>
      <w:r>
        <w:rPr>
          <w:b/>
        </w:rPr>
        <w:t>E. 15.1</w:t>
      </w:r>
    </w:p>
    <w:p>
      <w:r>
        <w:t>Certes, l’annexe 3 de l’OLAA prévoit que lors de la perte d’au moins deux phalanges d’un doigt, l’indemnité s’élève à 5%. Elle stipule cependant également qu’en cas de perte partielle d’un organe ou de son usage, l’indemnité pour atteinte à l’intégrité est réduite en conséquence. ![endif]&gt;![if&gt; En l’occurrence deux doigts sont touchés (l’index et le majeur de la main gauche), sans que pour autant le recourant n’en ait perdu totalement l’usage. Le recourant est ainsi affecté par une perte de force, de flexibilité et de dextérité, comme en attestent tant ses propres médecins que le médecin de l’intimée. Il conserve cependant, de manière limitée, la possibilité de mouvoir lesdits doigts, de les enrouler et de les étendre. S’agissant d’une perte partielle de l’usage des deux doigts, la réduction de moitié de l’IPAI est conforme aux tables d’indemnisation applicables.</w:t>
      </w:r>
    </w:p>
    <w:p>
      <w:r>
        <w:rPr>
          <w:b/>
        </w:rPr>
        <w:t>E. 16</w:t>
      </w:r>
    </w:p>
    <w:p>
      <w:r>
        <w:t>Au vu de ce qui précède, le recours est rejeté et la décision sur opposition de la SUVA du 17 décembre 2021 est confirmée.![endif]&gt;![if&gt;</w:t>
      </w:r>
    </w:p>
    <w:p>
      <w:r>
        <w:rPr>
          <w:b/>
        </w:rPr>
        <w:t>E. 17</w:t>
      </w:r>
    </w:p>
    <w:p>
      <w:r>
        <w:t>Pour le surplus, la procédure est gratuite (art. 61 let. fbis a contrario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