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A/3476/2017 vom 9. März 2018</w:t>
      </w:r>
    </w:p>
    <w:p>
      <w:r>
        <w:t>GE Cour de justice, 2018-03-09, FR</w:t>
      </w:r>
    </w:p>
    <w:p>
      <w:r>
        <w:rPr>
          <w:b/>
        </w:rPr>
        <w:t xml:space="preserve">Quelle: </w:t>
      </w:r>
      <w:r>
        <w:t>https://mcp.opencaselaw.ch/entscheid/ge_gerichte_A_3476_2017</w:t>
      </w:r>
    </w:p>
    <w:p>
      <w:r>
        <w:t>FR: GE_GERICHTE A/3476/2017 du 9 mars 2018</w:t>
      </w:r>
    </w:p>
    <w:p>
      <w:r>
        <w:t>IT: GE_GERICHTE A/3476/2017 del 9 marzo 2018</w:t>
      </w:r>
    </w:p>
    <w:p>
      <w:pPr>
        <w:pStyle w:val="Heading2"/>
      </w:pPr>
      <w:r>
        <w:t>Volltext</w:t>
      </w:r>
    </w:p>
    <w:p>
      <w:r>
        <w:t>Genève Cour de justice (Cour de droit public) Chambre des assurances sociales 09.03.2018 A/3476/2017</w:t>
      </w:r>
    </w:p>
    <w:p>
      <w:r>
        <w:t>A/3476/2017 ATAS/228/2018 du 09.03.2018 ( PC ) , REJETE En fait En droit rÉpublique et canton de genÈve POUVOIR JUDICIAIRE A/3476/2017 ATAS/228/2018 COUR DE JUSTICE Chambre des assurances sociales Arrêt du 9 mars 2018 4 ème Chambre En la cause Monsieur A______, domicilié à GENÈVE recourant contre SERVICE DES PRESTATIONS COMPLÉMENTAIRES, sis route de Chêne 54, GENÈVE intimé EN FAIT 1.        Monsieur A______ (ci-après l'assuré ou le recourant), né le ______ 1931, a requis des prestations complémentaires le 23 mars 2001, en précisant, dans le formulaire de demande, être veuf depuis le 29 décembre 2000 et que sa situation économique s’était modifiée depuis lors, en raison de dépenses importantes liées au décès de son épouse. Il n’a rien répondu à la rubrique cohabitation. Par sa signature, il s’est engagé à informer l’office cantonal des personnes âgées (ci-après OCPA) de tout changement dans sa situation personnelle, ses revenus, son patrimoine et ses dépenses.![endif]&gt;![if&gt; 2.        Il a par la suite rempli trois autres demandes de prestations, les 31 mars 2003, 26 mai 2006 et 31 mars 2008, en ne mentionnant rien non plus sous la rubrique cohabitation. ![endif]&gt;![if&gt; 3.        Depuis sa demande de prestations, l’assuré a été informé de manière régulière du fait qu’il devait signaler à l’OCPA, puis au service des prestations complémentaires (ci-après le SPC) tout changement qui pourrait survenir dans sa situation personnelle ou économique, notamment : mariage, divorce ou autre changement d’état civil, déménagement, modification de loyer, changement d’assurance-maladie, etc.![endif]&gt;![if&gt; 4.        Le 20 octobre 2016, l’assuré, représentant Madame B______, a déposé pour cette dernière une demande de prestations au SPC, précisant qu’il pouvait être contacté pour tout renseignement complémentaire et que la requérante cohabitait avec lui.![endif]&gt;![if&gt; 5.        Par décision du 11 avril 2017, le SPC a recalculé le droit aux prestations complémentaires de l’assuré pour tenir compte de ce fait nouveau. Il en ressortait que l'assuré avait perçu CHF 12'232.- de prestations en trop dont la restitution lui était demandée. La décision précisait que le montant du loyer retenu tenait compte du nombre de personnes partageant le logement. ![endif]&gt;![if&gt; 6.        Le 1 er mai 2017, l’assuré a formé opposition à la décision du 11 avril 2017, faisant valoir qu'il avait reçu les prestations complémentaires de bonne foi et que le remboursement du montant revendiqué le placerait dans une situation très difficile. S’il y avait eu une erreur d’appréciation ou de calcul au sein de l’administration, il n’avait pas à en assumer la responsabilité. Il demandait au SPC de reconsidérer sa position. ![endif]&gt;![if&gt; 7.        Par décision sur opposition du 25 juillet 2017, le SPC a informé l’assuré qu’il rejetait son opposition. Il avait procédé à une mise à jour de son dossier en corrigeant son loyer. En effet, il s’avérait que l'assuré cohabitait depuis le 1 er avril 2004. En rendant la décision litigieuse, le SPC avait respecté le délai de péremption de sept ans. Les rectificatifs entrepris avaient généré une demande de restitution de CHF 12'232.-. La prise en compte d’un loyer proportionnel (loyer partagé entre le nombre de personnes, non comprises dans le calcul des prestations complémentaires, habitant dans l’appartement, en l’occurrence deux) était conforme à l’art. 16c de l’OPC-AVS/AI, la décision du 11 avril 2017 avait donc été correctement établie. Elle respectait en outre le délai de péremption prévu par l’art. 25 al. 2 phr. 2 LPGA, étant précisé que l’assuré n’avait jamais signalé au SPC qu’il cohabitait avec Mme B______. Le SPC se déterminerait sur la demande de remise de l’obligation de restituer la somme requise par décision séparée dès l’entrée en force de la décision sur opposition.![endif]&gt;![if&gt; 8.        Le 21 août 2017, l’assuré a formé recours contre la décision précitée auprès de la chambre des assurances sociales de la Cour de justice. Il précisait que Mme B______ partageait son appartement, mais qu'elle ne participait au loyer mensuel, qui était de CHF 1'963.- qu’à hauteur de CHF 700.-. Elle était âgée de 92 ans et souffrait depuis plusieurs années de la maladie d’Alzheimer. Il devait assumer toutes les obligations et tâches relatives à sa personne et à l’entretien du ménage. Tout cela l’occupait et le préoccupait beaucoup. En toute bonne foi, il ne s’était jamais rendu compte de l’erreur du SPC. Aujourd’hui, son statut ne lui permettait pas de rembourser le montant réclamé, les sommes trop perçues ayant été utilisées pour faire face à ses charges. De plus, le remboursement, même par versements espacés, le mettrait dans une situation financière. L’article de loi dont le SPC avait fait mention ne s’appliquait pas à son cas, selon un organisme qu’il avait consulté (ATF 122 V 134 ). ![endif]&gt;![if&gt; 9.        Le 6 septembre 2017, le SPC a conclu au rejet du recours, relevant que c’était dans le cadre de l’instruction de la demande de prestations complémentaires déposée par l’assuré pour le compte de Mme B______, qu’il avait appris l’existence de leur cohabitation depuis de nombreuses années. C’était par conséquent à juste titre qu’il avait repris le calcul des prestations complémentaires dues à l’assuré en tenant compte de ce fait. Le délai de péremption légal prévu par l’art. 25 al. 2 phr. 2 LPGA, soit en l’occurrence sept ans compte tenu de la violation de l’obligation de renseigner (art. 31 LPGA, art. 31 al. 1 let. d LPC et 97 al. 1 let. d CP), avait par ailleurs été respecté. ![endif]&gt;![if&gt; 10.    Entendu par la chambre de céans le 7 février 2018, le recourant a déclaré que Mme B______ habitait chez lui depuis 2004. Elle n'avait participé au paiement du loyer qu'après trois ou quatre ans de cohabitation. Elle ne touchait pas de prestations complémentaires, mais elle avait fait une demande en ce sens. Il n’était pas conscient d'avoir l'obligation d'annoncer sa présence dans son appartement, malgré les différents avertissements du SPC. Il les avait lus un peu en diagonale. Il avait rempli les demandes de prestations avec l’aide de la fille de Mme B______.![endif]&gt;![if&gt; 11.    Sur ce,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prestations complémentaires fédérales sont régies par la loi fédérale sur les prestations complémentaires à l’AVS et à l’AI du 6 octobre 2006 (LPC - RS 831.30) et la loi genevoise du 14 octobre 1965 sur les prestations fédérales complémentaires à l’assurance-vieillesse et survivants et à l’assurance-invalidité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![endif]&gt;![if&gt; 3.        Les dispositions de la LPGA, en vigueur depuis le 1 er janvier 2003, s’appliquent aux prestations complémentaires fédérales à moins que la LPC n'y déroge expressément (art. 1 al. 1 LPC). Il en va de même en matière de prestations complémentaires cantonales (cf. art. 1A let. b LPCC). La LPGA ne s’applique en revanche pas en matière de subside d’assurance-maladie [art. 1 al. 2 let. c LAMal]).![endif]&gt;![if&gt; 4.        Interjeté dans la forme et le délai prescrits, le recours est recevable (art. 56 et 60LPGA ; art. 43 LPCC ; art. 89B de la loi sur la procédure administrative du 12 septembre 1985 (LPA-GE - E 5 10). ![endif]&gt;![if&gt; 5.        L'objet du litige porte sur le bien-fondé de la demande de restitution de CHF 12'232.- au motif que le recourant cohabitait avec Mme B______ depuis le 1 er avril 2004. ![endif]&gt;![if&gt; 6.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 ![endif]&gt;![if&gt; 7.        Selon l'art. 9 al. 1 LPC, le montant de la prestation complémentaire annuelle correspond à la part des dépenses reconnues qui excède les revenus déterminants.![endif]&gt;![if&gt; 8.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![endif]&gt;![if&gt;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le Tribunal fédéral des assurances, la règle générale de la répartition du montant du loyer à parts égales mérite d'être confirmée et des dérogations ne doivent être admises qu'avec prudence si l'on veut éviter le risque de graves abus (ATF 105 V 271 consid. 2). En effet, l'art. 16c OPC vise à empêcher que les prestations complémentaires aient également à « intervenir à l'endroit de personnes qui ne sont pas comprises dans le calcul des prestations complémentaires »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peuvent être d'ordre juridique (obligation d'entretien de droit civil) ou d'ordre moral (ATF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intéressés avec enfants sans droit à la rente seraient désavantagés non seulement envers les intéressés sans enfants, mais en règle générale également envers les intéressés dont les enfants auraient droit à une rente (arrêt du Tribunal fédéral des assurances P.56/00 du 5 juillet 2001 in Pratique VSI 5/2001, p. 237). Le Tribunal fédéral n'a pas reconnu l'existence d'une obligation d'ordre moral pour un assuré envers sa fille, âgée de 25 ans, ne bénéficiant plus d'une rente pour enfant, mais toujours en formation. Il a précisé que « pour compréhensible et louable que soit l'attitude du prénommé de vouloir loger sa fille majeure encore en formation, on n'est pas en présence d'une situation assimilable à celle qui a donné lieu à l'arrêt 105 V 271 . Cela est d'autant moins le cas que les dispositions civiles régissant l'obligation d'entretien des parents […] n'imposent même plus à un père se trouvant dans les circonstances économiques du recourant, d'assumer les besoins courants et les frais engendrés par la formation de son enfant majeur. Enfin, on ne saurait y voir […] une entorse à l'égalité des chances. Il existe en effet des aides spécifiques de l'État destinées à permettre de mener à terme une formation supérieure dans les cas où ni le père ni la mère ne peuvent assumer cette charge […]. Telle n'est pas la vocation des prestations complémentaires qui ont pour but d'assurer aux bénéficiaires de rente AVS ou AI des moyens d'existence essentiels » (art. 2 al. 1 LPC; arrêt du Tribunal fédéral des assurances P 21/02 du 8 janvier 2003 consid. 3). Par arrêt du 21 novembre 2012, la chambre de céans a estimé qu'une bénéficiaire de prestations n'avait pas un devoir moral envers sa fille majeure et sa petite-fille qui partageaient son logement, dès lors que la fille pouvait s'adresser, en dernier ressort, à l'Hospice général pour subvenir à son entretien et à celui de sa fille ( ATAS/1396/2012 ). Le Tribunal fédéral a admis un motif d'ordre moral dans le cas d'un infirmier en psychiatrie qui partageait le logement d'une bénéficiaire de prestations complémentaires, dès lors que cette dernière était atteinte dans sa santé physique et psychique et avait besoin de soins réguliers et d'une surveillance quasi-constante qui lui étaient fournis par l'infirmier, sans qui elle aurait dû être placée dans un asile ou un home. Le souci d'économiser un loyer ne semblait avoir joué aucun rôle dans la décision de vivre ensemble et les soins donnés par l'infirmier avaient un très grand prix pour celle qui en bénéficiait et qui, indubitablement, contractait envers son ami une dette de reconnaissance considérable, de sorte qu'il se justifiait d'imputer à la bénéficiaire l'intégralité du loyer (ATF 105 V 271 ). 9.        Les prestations indûment touchées doivent être restituées. La restitution ne peut être exigée lorsque l'intéressé était de bonne foi et qu'elle le mettrait dans une situation difficile (art. 25 al. 1 LPGA). La teneur de cette disposition est répétée pour les PCF à l’art. 5C LPFC et reprise pour les PCC à l’art. 24 al. 1 LPCC et – par le biais d’un renvoi par analogie à l'art. 25 LPGA – pour les subsides d’assurance-maladie par l’art. 33 al. 1 LaLAMal.![endif]&gt;![if&gt; 10.    L’obligation de restituer prévue par l’art. 25 al. 1 phr. 1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cités).![endif]&gt;![if&gt;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D’après l’art. 11 LPCC, le bénéficiaire ou son représentant légal doit déclarer au service tout fait nouveau de nature à entraîner la modification du montant des prestations qui lui sont allouées ou leur suppression (al. 1). En outre, il doit signaler au service les droits qui peuvent lui échoir par une part de succession, même non liquidée. La même obligation s'applique à tous les legs ou donations (al. 2). Le service peut suspendre ou supprimer le versement de la prestation lorsque le bénéficiaire refuse de fournir ou tarde à remettre les renseignements demandés (al. 3). 11.    En l’espèce, il est établi par les pièces de la procédure et non contesté que le SPC a eu connaissance du fait que le recourant partageait son appartement depuis le 1 er avril 2004 par le biais de la demande de prestations complémentaires déposée par celui-ci au SPC pour Mme B______ le 20 octobre 2016, laquelle précisait que cette dernière cohabitait avec le recourant. ![endif]&gt;![if&gt; Ce dernier n'avait pas indiqué cette cohabitation dans ses demandes au SPC des 26 mai 2006 et 31 mars 2008, qui contenaient pourtant une rubrique « cohabitation ». À aucun moment, il n’a informé le SPC de cette cohabitation, malgré les nombreux rappels reçus sur son obligation de renseigner sur tout changement dans sa situation personnelle et financière. Le fait que Mme B______ soit âgée et malade et qu'elle ne payait pas la moitié du loyer est irrelevant et ne justifie pas qu'il soit renoncé à la répartition du loyer, selon la jurisprudence. Le recourant n'avait en effet pas d'obligation d'entretien de droit civil envers elle et l'on ne peut admettre un motif d'ordre moral. En effet, si le fait d'assumer la situation difficile de Mme B______ est à l'évidence honorable, cela ne constitue pas un motif suffisant pour que le SPC renonce à imputer la moitié du loyer à cette dernière. L'on ne se trouve pas dans la même situation que celle dans laquelle le Tribunal fédéral a admis une dérogation au principe de la répartition du loyer pour une bénéficiaire des prestations complémentaires qui partageait son appartement avec un infirmier qui lui permettait, grâce à son aide, de rester dans son appartement, car, dans le cas d'espèce, c'est le bénéficiaire des prestations qui aide la personne avec laquelle il vit. C’est ainsi à juste titre que l’intimé a procédé au recalcul rétroactif de ses prestations, en application de l’art. 25 al. 1 phr. 1 LPGA, en tenant compte d’un loyer proportionnel entre le recourant et Mme B______ selon l'art. 16c OPC-AVS/AI. 12.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déterminant.![endif]&gt;![if&gt;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![endif]&gt;![if&gt; -          celui qui, par des indications fausses ou incomplètes, ou de toute autre manière, obtient sans droit une subvention au sens de la présente loi (let. b) ; ![endif]&gt;![if&gt; -          celui qui n'observe pas l'obligation de garder le secret ou abuse, dans l'application de la présente loi, de sa fonction ou tire avantage de sa situation professionnelle au détriment de tiers ou pour son propre profit (let. c) ; ![endif]&gt;![if&gt; -          celui qui manque à son obligation de communiquer (let. d).![endif]&gt;![if&gt;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p. 192).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p. 14 et 2.4.1 p. 14 s. et les références citées; 136 IV 188 consid. 6.2 p. 191 s.).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p. 14 ss.; 131 IV 83 consid. 2.1.3 p. 88).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11 consid. 2.4.1 p. 15 et consid. 2.4.6  in fine p. 18; voir également arrêt 6B_791/2013 du 3 mars 2014 consid. 3.1.1; imprécis sur cette question, arrêt 9C_232/2013 du 13 décembre 2013 consid. 4.1.3).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et commet ainsi à chaque fois une tromperie par commission (ATF 131 IV 83 consid. 2.2 p. 89 et 2.5 p. 95). Dans un arrêt 9C_171/2014 du 17 septembre 2014 (consid. 6.5.), le Tribunal fédéral a jugé que compte tenu des informations demandées dans le formulaire de demande de prestations, lesquelles concernaient aussi bien sa situation personnelle que celles de son épouse ou de ses enfants, l'intéressé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l'intéressé réalisait les conditions objectives et subjectives de l'infraction réprimée à l'art. 31 al. 1 let. d LPC et que le délai de péremption de plus longue durée prévu par le droit pénal, soit en l'occurrence sept ans (art. 97 CP), était par conséquent applicable. Pour que le délai de prescription de plus longue durée prévu par le droit pénal s'applique à la restitution des prestations, on doit être en présence d'un acte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En l'absence d'un jugement pénal, comme c'est le cas en l'espèce,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phr. 2 LPGA, suppose la réunion des éléments tant objectifs que subjectifs de l'infraction (arrêt du Tribunal fédéral 8C_213/2016 du 4 novembre 2016 consid. 5.2). Conformément à l’art. 97 al. 1 let. d CP, le délai de prescription des infractions réprimées à l'art. 31 al. 1 LPC est de sept ans. 13.    En l'espèce, l'intimé ayant eu connaissance de la cohabitation du recourant le 27 octobre 2016, il a agi dans le délai de péremption d’une année en réclamant la restitution des prestations perçues indûment par décision du 11 avril 2017.![endif]&gt;![if&gt; L'intimé a établi le trop perçu sur la période 1 er mai 2010 au 30 avril 2017 en tenant compte d'un délai de péremption de sept ans, considérant que le recourant avait commis une violation de l'obligation de renseigner. Le recourant a indiqué à la chambre de céans qu'il n’était pas conscient d'avoir l'obligation d'annoncer la présence de Mme B______ dans son appartement, malgré les différents avertissements du SPC, précisant qu'il les avait lus « un peu en diagonale ». Il convient néanmoins de retenir qu'il ne pouvait ignorer l'importance que revêtait la communication de toute information d'ordre économique le concernant, et, en particulier, le fait qu'il cohabitait avec Mme B______, vu les communications annuelles du SPC et le fait que cette question lui a été expressément posée dans les formulaires de demande de prestations des 26 mai 2006 et 31 mars 2008. Or, il n'a pas donné de réponse à la rubrique « cohabitation » desdits formulaires, ni annoncé au SPC qu'il partageait son appartement depuis 2004 avec Mme B______. Dans ces circonstances, il y a lieu de retenir, au vu de la jurisprudence en la matière, que le recourant a commis une infraction à l'art. 31 al. 1 LCP par dol éventuel, ce qui porte le délai de péremption à sept ans. Le calcul de l'intimé qui a établi le trop perçu du 1 er mai 2010 au 30 avril 2017 respecte ce délai et doit donc être confirmé. 14.    La décision rendue par le SPC le 25 juillet 2017 est en conséquence bien fondée et le recours doit être rejeté.![endif]&gt;![if&gt; 15.    Le SPC devra dès lors se prononcer sur la demande de remise formée par le recourant dans son opposition du 1 er mai 2017.![endif]&gt;![if&gt; 16.    La procédure est gratuite (art. 61 let. a LPGA).![endif]&gt;![if&gt; PAR CES MOTIFS, LA CHAMBRE DES ASSURANCES SOCIALES : Statuant À la forme : 1.        Déclare le recours recevable.![endif]&gt;![if&gt; Au fond : 2.        Le rejette. ![endif]&gt;![if&gt; 3.        Dit que l'intimé doit se prononcer sur la demande de remise formée par le recourant le 1 er mai 2017.![endif]&gt;![if&gt;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