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A/3473/2019 vom 21. Oktober 2019</w:t>
      </w:r>
    </w:p>
    <w:p>
      <w:r>
        <w:t>GE Cour de justice, 2019-10-21, FR</w:t>
      </w:r>
    </w:p>
    <w:p>
      <w:r>
        <w:rPr>
          <w:b/>
        </w:rPr>
        <w:t xml:space="preserve">Quelle: </w:t>
      </w:r>
      <w:r>
        <w:t>https://mcp.opencaselaw.ch/entscheid/ge_gerichte_A_3473_2019</w:t>
      </w:r>
    </w:p>
    <w:p>
      <w:r>
        <w:t>FR: GE_GERICHTE A/3473/2019 du 21 octobre 2019</w:t>
      </w:r>
    </w:p>
    <w:p>
      <w:r>
        <w:t>IT: GE_GERICHTE A/3473/2019 del 21 ottobre 2019</w:t>
      </w:r>
    </w:p>
    <w:p>
      <w:pPr>
        <w:pStyle w:val="Heading2"/>
      </w:pPr>
      <w:r>
        <w:t>Volltext</w:t>
      </w:r>
    </w:p>
    <w:p>
      <w:r>
        <w:t>Genève Cour de justice (Cour de droit public) Chambre administrative 21.10.2019 A/3473/2019</w:t>
      </w:r>
    </w:p>
    <w:p>
      <w:r>
        <w:t>A/3473/2019 ATA/1559/2019 du 21.10.2019 ( FPUBL ) , REFUSE RÉPUBLIQUE ET CANTON DE GENÈVE POUVOIR JUDICIAIRE A/3473/2019 - FPUBL ATA/1559/2019 COUR DE JUSTICE Chambre administrative Décision du 21 octobre 2019 sur effet suspensif dans la cause M. A______ représenté par Me Philippe Eigenheer, avocat contre CONSEIL D'ÉTAT Vu l'arrêté du 21 août 2019, déclaré exécutoire nonobstant recours, par lequel le Conseil d'État a révoqué M. A______, fonctionnaire depuis ______ (année de nomination) au sein du département du territoire (ci-après : DT), de ses fonctions avec effet immédiat, à la suite en particulier du rapport d'enquête administrative établi le 5 juin 2019 par Monsieur Christian COQUOZ retenant, sur la base notamment des témoignages de trois nettoyeurs, que l'intéressé s'était introduit de manière non autorisée le soir du 17 décembre 2018 dans les bureaux de la responsable des ressources humaines (ci-après : RH) et du directeur des RH du département des finances et des ressources humaines (ci-après : DF) et le soir du 18 février 2019 dans les archives du DF en vue d'accéder au dossier personnel de Mme B______, collaboratrice au sein de ce dernier département ; vu le recours interjeté le 19 septembre 2019 par M. A______ contre ledit arrêté, concluant préalablement à la restitution de l'effet suspensif, au fond, à l'annulation de cette décision de révocation et, principalement, à ce qu'il soit dit et constaté que ses rapports de service avec l'État de Genève étaient maintenus, subsidiairement, à ce que la cause soit renvoyée au Conseil d'État pour nouvelle décision dans le sens des considérants ; vu les observations du 3 octobre 2019 du Conseil d'État sur effet suspensif, concluant au rejet de la requête de restitution dudit effet ; vu la réplique sur effet suspensif du recourant du 14 octobre 2019 ; considérant, en droit, l'art. 9 al. 1 du règlement interne de la chambre administrative de la Cour de justice du 26 septembre 2017, à teneur duquel les décisions sur effet suspensif sont prises par la présidence de ladite chambre, respectivement par la vice-présidence,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(ibidem) ; qu'en l'espèce, le recourant conclut à l'annulation de l'arrêté litigieux ; qu'or, même s'il devait obtenir gain de cause, seule une indemnité pourrait lui être allouée ; qu'en effet, la nouvelle teneur de l'art. 31 al. 2 de la loi générale relative au personnel de l'administration cantonale et des établissements publics médicaux du 4 décembre 1997 (LPAC - B 5 05), entrée en vigueur le 19 décembre 2015, laquelle impose, à certaines conditions, qu'un fonctionnaire soit réintégré, aborde le contentieux de la résiliation des rapports de service, de sorte qu'en l'occurrence, la chambre de céans, saisie d'un recours contre une décision de révocation, ne pourrait que proposer, sans imposer, une réintégration du recourant à l'autorité intimée ; que dès lors, s'il était fait droit à la demande de restitution de l'effet suspensif présentée par le recourant, la chambre administrative rendrait une décision provisoire allant au-delà des compétences qui sont les siennes sur le fond ( ATA/1013/2018 du 1 er octobre 2018 ; ATA/826/2018 du 15 août 2018 consid. 10 ; ATA/42/2014 du 24 janvier 2014 et les références citées), ce qui n'est pas envisageable ; que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 ATA/1013/2018 précité ; ATA/1624/2017 du 19 décembre 2017 ; ATA/231/2017 du 22 février 2017 et les référence citées) ; que par surabondance, contrairement à ce que semble soutenir l'intéressé, la position de l'intimé repose sur des moyens de preuve qui ne peuvent pas être considérés d'emblée comme manifestement dénués de toute valeur probante, ce à quoi s'ajoute la jurisprudence de la chambre administrative, rendue en matière des résiliation des rapports de service, selon laquelle l'intérêt privé du recourant à conserver son activité professionnelle et les revenus y relatifs doit céder le pas à l'intérêt public à la préservation des finances de l'État ( ATA/191/2019 du 26 février 2019) ; que, partant, la requête de restitution d'effet suspensif doit être rejetée ; qu'il sera statué sur les frais de l'incident avec la décision au fond.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Philippe Eigenheer, avocat du recourant,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