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A/3471/2025 vom 4. Dezember 2025</w:t>
      </w:r>
    </w:p>
    <w:p>
      <w:r>
        <w:t>GE Cour de justice, 2025-12-04, FR</w:t>
      </w:r>
    </w:p>
    <w:p>
      <w:r>
        <w:rPr>
          <w:b/>
        </w:rPr>
        <w:t xml:space="preserve">Quelle: </w:t>
      </w:r>
      <w:r>
        <w:t>https://mcp.opencaselaw.ch/entscheid/ge_gerichte_A_3471_2025</w:t>
      </w:r>
    </w:p>
    <w:p>
      <w:r>
        <w:t>FR: GE_GERICHTE A/3471/2025 du 4 décembre 2025</w:t>
      </w:r>
    </w:p>
    <w:p>
      <w:r>
        <w:t>IT: GE_GERICHTE A/3471/2025 del 4 dicembre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Il s'agit, en l'occurrence, d'examiner la recevabilité du recours.</w:t>
      </w:r>
    </w:p>
    <w:p>
      <w:r>
        <w:rPr>
          <w:b/>
        </w:rPr>
        <w:t>E. 3.1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 également art. 63 al. 1 let. a de la loi sur la procédure administrative du 12 septembre 1985 [LPA - E 5 10]).</w:t>
      </w:r>
    </w:p>
    <w:p>
      <w:r>
        <w:rPr>
          <w:b/>
        </w:rPr>
        <w:t>E. 3.2</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 cf . art. 38 à 39 LPGA et art. 17 LPA). Les délais en jours ou en mois fixés par la loi ou par l'autorité ne courent pas : a) du 7 e jour avant Pâques au 7 e jour après Pâques inclusivement ; b) du 15 juillet au 15 août inclusivement ; c) du 18 décembre au 2 janvier inclusivement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3.3</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 e éd., n. 704 p. 153 ; KÖLZ/HÄNER, Verwaltungsverfahren und Verwaltungsrechtspflege des Bundes , 2 e éd., n. 341 p. 123). Lorsque la notification intervient par pli recommandé, elle est réputée parfaite lorsque l'intéressé ou toute personne qui le représente ou dont on peut légitimement penser qu'elle le représente ( cf . ATF 110 V 37 consid. 3) a reçu le pli ou l'a retiré au guichet postal en cas d'absence lors du passage du facteur (ATFA non publié du 11 avril 2005, C 24/05 consid. 4.1).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le dernier jour de ce délai (ATF 123 III 493 , 119 II 149 consid. 2, 119 V 94 consid. 4b/aa et les références). La notification consiste à faire parvenir l'information dans la sphère de compétence du destinataire. Son existence ne peut être retenue que s'il est établi qu'une invitation à retirer un pli recommandé a bien été déposée dans la boîte aux lettres du destinataire (arrêts du Tribunal fédéral 8C_621/2007 du 5 mai 2008 consid. 4.2 ;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(arrêts du Tribunal fédéral 2C_146/2011 du 14 février 2011 ; 2C_86/2010 du 4 octobre 2010 consid. 2 ; ATF 130 III 396 consid. 1.2.3). Une deuxième notification est en principe privée d’effet si la première a été faite régulièrement (ATF 119 V 89 consid. 4b ; ATA/743/2003 du 7 octobre 2003 ; Pierre MOOR, op. cit ., p. 353).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w:t>
      </w:r>
    </w:p>
    <w:p>
      <w:r>
        <w:rPr>
          <w:b/>
        </w:rPr>
        <w:t>E. 4</w:t>
      </w:r>
    </w:p>
    <w:p>
      <w:r>
        <w:t>En l'espèce, il n'est pas contesté que le recours a été interjeté après le délai de 30 jours dès la fin du délai de garde.</w:t>
      </w:r>
    </w:p>
    <w:p>
      <w:r>
        <w:rPr>
          <w:b/>
        </w:rPr>
        <w:t>E. 4.1</w:t>
      </w:r>
    </w:p>
    <w:p>
      <w:r>
        <w:t>La première notification ayant été effectuée régulièrement, la deuxième notification par pli simple du 4 septembre et reçue par le recourant le 9 septembre 2025 est privée d’effet, raison pour laquelle l’allégation du recourant selon laquelle il a respecté le délai de recours de 30 jours au vu de la réception de la copie de la décision en date du 9 septembre 2025 doit être écartée. De surcroît, il est établi que le recourant devait s’attendre, avec une certaine vraisemblance, à recevoir une décision sur opposition, dès lors qu’il s’était opposé le 28 juillet 2025 à la décision du SPC du 1 er juillet 2025.</w:t>
      </w:r>
    </w:p>
    <w:p>
      <w:r>
        <w:rPr>
          <w:b/>
        </w:rPr>
        <w:t>E. 4.2</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86 consid. 2a ; 112 V 255 consid. 2a). En l'occurrence, le recourant fait valoir qu’il était à l’étranger, soit à Nice, jusqu’au 25 août 2025, lors de la réception du pli recommandé. Toutefois, il n’est pas en mesure de le démontrer, la copie de l’inscription à la course « Prom‑Classic » du 4 janvier 2026, remise en annexe à sa réponse, ne prouvant aucunement sa présence à Nice le 25 août 2025. De surcroît, le recourant indique qu’il a « enchaîné » des vacances avec sa famille pendant la première quinzaine d’août et son déplacement à Nice mais ne fournit aucune pièce justifiant ses dires, notamment quant au fait qu’il n’était pas à Genève pendant la période du délai de garde. En tous les cas, le recourant, qui pouvait s’attendre à recevoir une décision, devait prendre des dispositions pour qu’une personne de confiance puisse relever son courrier. Les explications qu’il donne au sujet de sa compagne, qui n’aurait pas pu s’acquitter de cette tâche en raison de la préparation de la rentrée scolaire, ne sont pas de nature à justifier une restitution du délai de recours au sens de l'art. 41 al. 1 LPGA, pas plus que les explications concernant l’éloignement de l’office de poste et l’absence d’arrêt de bus à proximité. Dès lors que le recourant déclare s’être rendu dans sa famille pendant ses vacances et être allé à Nice pour reconnaître le parcours de la course du 4 janvier 2026 auquel il participera, on peut partir du principe que le recourant, en dépit de son handicap visuel, bénéficie de certaines ressources et qu’il était en mesure de relever ou de faire relever par un tiers, son courrier recommandé déposé auprès de l’office postal.</w:t>
      </w:r>
    </w:p>
    <w:p>
      <w:r>
        <w:rPr>
          <w:b/>
        </w:rPr>
        <w:t>E. 5.1</w:t>
      </w:r>
    </w:p>
    <w:p>
      <w:r>
        <w:t>Pour le reste, en tant que le recourant se prévaut d’une situation financière difficile, son recours peut être considéré comme une demande de remise qui, en tant que telle, doit être traitée par l’intimé après l’entrée en force de la présente décision ( cf . art. 4 et 5 de l’ordonnance sur la partie générale du droit des assurances sociales du 11 septembre 2002 [OPGA - RS 830.11]).</w:t>
      </w:r>
    </w:p>
    <w:p>
      <w:r>
        <w:rPr>
          <w:b/>
        </w:rPr>
        <w:t>E. 5.2</w:t>
      </w:r>
    </w:p>
    <w:p>
      <w:r>
        <w:t>En l'absence de motif valable de restitution de délai, la chambre de céans n’a d’autre choix que de déclarer le recours irrecevable pour cause de tardiveté.</w:t>
      </w:r>
    </w:p>
    <w:p>
      <w:r>
        <w:rPr>
          <w:b/>
        </w:rPr>
        <w:t>E. 5.3</w:t>
      </w:r>
    </w:p>
    <w:p>
      <w:r>
        <w:t>Pour le surplus, en l’absence de loi spéciale prévoyant des frais judiciaires,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