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A/3468/2023 vom 8. Oktober 2024</w:t>
      </w:r>
    </w:p>
    <w:p>
      <w:r>
        <w:t>GE Cour de justice, 2024-10-08, FR</w:t>
      </w:r>
    </w:p>
    <w:p>
      <w:r>
        <w:rPr>
          <w:b/>
        </w:rPr>
        <w:t xml:space="preserve">Quelle: </w:t>
      </w:r>
      <w:r>
        <w:t>https://mcp.opencaselaw.ch/entscheid/ge_gerichte_A_3468_2023</w:t>
      </w:r>
    </w:p>
    <w:p>
      <w:r>
        <w:t>FR: GE_GERICHTE A/3468/2023 du 8 octobre 2024</w:t>
      </w:r>
    </w:p>
    <w:p>
      <w:r>
        <w:t>IT: GE_GERICHTE A/3468/2023 del 8 ottobre 2024</w:t>
      </w:r>
    </w:p>
    <w:p>
      <w:pPr>
        <w:pStyle w:val="Heading2"/>
      </w:pPr>
      <w:r>
        <w:t>Erwägungen</w:t>
      </w:r>
    </w:p>
    <w:p>
      <w:r>
        <w:rPr>
          <w:b/>
        </w:rPr>
        <w:t>E. 2</w:t>
      </w:r>
    </w:p>
    <w:p>
      <w:r>
        <w:t>L’objet du litige porte sur la conformité au droit de la décision de l’OCPM du 21 septembre 2023, confirmée par le TAPI, refusant le renouvellement de l'autorisation de séjour du recourant.</w:t>
      </w:r>
    </w:p>
    <w:p>
      <w:r>
        <w:rPr>
          <w:b/>
        </w:rPr>
        <w:t>E. 2.1</w:t>
      </w:r>
    </w:p>
    <w:p>
      <w:r>
        <w:t>Selon l'art. 61 LPA, le recours devant la chambre administrative peut être formé pour violation du droit, y compris l'excès et l'abus du pouvoir d'appréciation, ainsi que pour constatation inexacte des faits (al. 1). En revanche, la chambre administrative ne connaît pas de l'opportunité des décisions prises en matière de police des étrangers, dès lors qu'il ne s'agit pas d'une mesure de contrainte (al. 2 ; art. 10 al. 2 de la loi d'application de la loi fédérale sur les étrangers du 16 juin 1988 - LaLEtr - F 2 10, a contrario ).</w:t>
      </w:r>
    </w:p>
    <w:p>
      <w:r>
        <w:rPr>
          <w:b/>
        </w:rPr>
        <w:t>E. 2.2</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des États-Unis.</w:t>
      </w:r>
    </w:p>
    <w:p>
      <w:r>
        <w:rPr>
          <w:b/>
        </w:rPr>
        <w:t>E. 2.3</w:t>
      </w:r>
    </w:p>
    <w:p>
      <w:r>
        <w:t>Selon l'art. 50 al. 1 LEI, après dissolution de la famille, le droit du conjoint et des enfants à l’octroi d’une autorisation de séjour et à la prolongation de sa durée de validité en vertu des art. 42 LEI (membres étrangers de la famille d’un ressortissant suisse) et 43 LEI (conjoint et enfants étrangers du titulaire d’une autorisation d’établissement) subsiste lorsque l’union conjugale a duré au moins trois ans et que les critères d’intégration définis à l’art. 58a LEI sont remplis (let. a), ou lorsque la poursuite du séjour en Suisse s’impose pour des raisons personnelles majeures (let. b). L'art. 49 LEI permet cependant de faire exception à l'exigence du ménage commun lorsque la communauté conjugale est maintenue et que des raisons majeures justifiant l'existence de domiciles séparés peuvent être invoquées (arrêt du Tribunal fédéral 2C_488/2010 du 2 novembre 2010 consid. 3.2). Celui qui se prévaut de l'art. 49 LEI doit faire valoir et, dans la mesure du possible, démontrer que la communauté familiale subsiste, même si les époux vivent séparés pour des raisons majeures (arrêt du Tribunal fédéral 2C_50/2010 du 17 juin 2010 consid. 2.2). En effet, le but de l'art. 49 LEI n'est pas de permettre aux époux étrangers de vivre séparés en Suisse pendant une longue période et exige que la communauté familiale soit maintenue (arrêt du Tribunal fédéral 2C_50/2010 du 17 juin 2010 consid. 2.3.2). La limite légale de trois ans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 2C_195/2010 du 23 juin 2010 consid. 5.1). 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ATA/981/2019 du 4 juin 2019 consid. 6b et l'arrêt cité).</w:t>
      </w:r>
    </w:p>
    <w:p>
      <w:r>
        <w:rPr>
          <w:b/>
        </w:rPr>
        <w:t>E. 2.4</w:t>
      </w:r>
    </w:p>
    <w:p>
      <w:r>
        <w:t>À teneur de l'art. 31 al. 1 OASA, lors de l'appréciation de l'existence d'un cas d'extrême gravité, il convient de tenir compte notamment : a) de l’intégration du requérant sur la base des critères d’intégration définis à l’art. 58a al. 1 LEI ; c) de la situation familiale, particulièrement de la période de scolarisation et de la durée de la scolarité des enfants ; d) de la situation financière ; e) de la durée de la présence en Suisse ; f) de l'état de santé ; g) des possibilités de réintégration dans l'État de provenance. Selon l'art. 58a al. 1 LEI, pour évaluer l’intégration, l’autorité compétente tient compte des critères suivants : (a) le respect de la sécurité et de l’ordre publics ; (b) le respect des valeurs de la Constitution ; (c) les compétences linguistiques et (d) la participation à la vie économique ou l’acquisition d’une formation. Les critères énumérés par l'art. 31 al. 1 OASA pour apprécier l'existence d'un cas individuel d'extrême gravité, qui doivent impérativement être respectés, ne sont toutefois pas exhaustifs, d'autres éléments pouvant également entrer en considération, comme les circonstances concrètes ayant amené un étranger à séjourner illégalement en Suisse (Directives et commentaires du SEM, Domaine des étrangers, du 25 octobre 2013, état au 1er septembre 2023 [ci-après : directives LEI], ch. 5.6.12). À elles seules, la longue durée du séjour et l'intégration (travail régulier, absence de condamnations et de dépendance à l'aide sociale) ne suffisent pas à rendre la poursuite du séjour imposable au sens de l'art. 50 al. 1 let. b LEI ( ATA/192/2021 Arrêt du 23 février 2021 consid. 9 ; ATA/775/2018 du 24 juillet 2018 consid. 4d et les références citées).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L'intégration professionnelle doit être exceptionnelle.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ATA/192/2021 du 23 février 2021 consid. 9d). Alternativement,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w:t>
      </w:r>
    </w:p>
    <w:p>
      <w:r>
        <w:rPr>
          <w:b/>
        </w:rPr>
        <w:t>E. 2.5</w:t>
      </w:r>
    </w:p>
    <w:p>
      <w:r>
        <w:t>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ATA/791/2023 du 18 juillet 2023 consid. 7.7).</w:t>
      </w:r>
    </w:p>
    <w:p>
      <w:r>
        <w:rPr>
          <w:b/>
        </w:rPr>
        <w:t>E. 2.6</w:t>
      </w:r>
    </w:p>
    <w:p>
      <w:r>
        <w:t>En l’espèce, le recourant s’est marié le 30 juin 2017 et a divorcé le 22 septembre 2020. L’OCPM a cependant retenu que la vie commune avait pris fin avec effet au 1 er juillet 2019. Ce constat ne prête pas le flanc à la critique. Il y a lieu de rappeler que c’est la durée de la vie commune durant le mariage qui est déterminante, et non le mariage lui-même comme semble le penser le recourant. Cette durée a été établie correctement par l’OCPM et le TAPI. Le recourant a en effet indiqué le 17 juillet 2019 dans son annonce de changement de son adresse que celui-ci ne concernait pas sa conjointe et qu’il s’agissait d’une séparation. Il a par ailleurs conclu le 28 avril 2020 avec D______ une convention en vue du divorce indiquant que le couple s’était séparé le 21 juin 2019 et que chacun des époux s’était constitué un domicile séparé. Le recourant a certes déclaré devant le TAPI qu’H______ les avait hébergés à son domicile, son épouse et lui, dès le mois de juillet 2019 et jusqu’à fin décembre 2020, que leur union conjugale avait ainsi perduré mais qu’ils avaient dû se constituer des adresses administratives séparées du fait que plusieurs personnes étaient déjà officiellement domiciliées chez leur logeur. Ainsi, son adresse postale avait été mise chez F______, ______, chemin G______, tandis que celle de son épouse l’avait été chez J______, ______, route K______. Le recourant ne justifie ainsi pas pourquoi son épouse et lui auraient dû se constituer deux adresses postales différentes. Ses allégations devant le TAPI sont par ailleurs contredites par la convention en vue du divorce qu’il a passée avec son épouse. Le recourant n’indique pas pour quel motif son épouse et lui auraient dû indiquer dans ce document une date de séparation contraire à la réalité. Les allégations plus récentes du recourant sont également contredites par l’attestation établie le 17 juillet 2019 par F______, selon laquelle il habitait physiquement au domicile de celle-ci, ______, chemin G______ et qu’il ne s’agissait pas d’une boîte aux lettres. On ne comprend d’ailleurs pas pour quelle raison F______ aurait dû attester faussement de son domicile chez elle. Enfin, le recourant a produit une version différente des faits lorsqu’il a compris que l’OCPM n’entendait pas renouveler son autorisation de séjour en raison de la durée insuffisante de la vie commune du couple. L’OCPM puis le TAPI étaient ainsi fondés à tenir les faits pour établis sur la base des premières déclarations du recourant, et à ne pas tenir compte de l’attestation d’D______ du 24 juillet 2023 selon laquelle les époux habitaient ensemble chez H______, ni de celle d’H______ du 24 juillet 2023 selon laquelle il avait hébergé les époux jusqu’à fin décembre 2020. Outre le fait que les auteurs de ces attestations sont proches du recourant, ce qui confère à leurs propos une force probante réduite, les attestations ont été produites après que l’OCPM eut annoncé au recourant le 24 mars 2023 son intention de ne pas renouveler son titre de séjour et lui eut donné l’occasion de se déterminer, de sorte qu’elles apparaissaient circonstancielles. Enfin, leur contenu est incompatible avec les premières déclarations du recourant, la convention de divorce et l’attestations de sa logeuse. C’est ainsi conformément à la loi et sans abus de leur pouvoir d’appréciation que l’OCPM et le TAPI ont tenu pour établi que la vie commune du recourant avec son épouse durant le mariage avait duré moins de trois ans, et conclu que l’autorisation de séjour de ce dernier ne pouvait être renouvelée en application de l’art. 50 LEI. Le recourant fait valoir qu’il remplirait les conditions d’un cas individuel d’extrême gravité. Il ne peut être suivi. Son intégration en Suisse n’a rien d’exceptionnel. S’il maîtrise le français au degré requis et n’a ni dettes ni poursuites, il ne conteste pas dépendre de l’aide financière de l’hospice depuis juin 2021. Il a certes conclu un contrat de travail avec L______ avec effet au 19 septembre 2023, mais celui-ci n’indique aucun taux d’activité, et l’OCPM a produit la décision de l’hospice du 26 avril 2024 octroyant au recourant une aide financière mensuelle de CHF 691.95, dont il ressort que son salaire net pris en compte pour le calcul de l’aide est de CHF 501.60, et enfin il a lui-même a indiqué le 26 avril 2024 à l’OCPM dépendre de l’hospice depuis juin 2021. Au plan social, le recourant ne fait pas valoir d’attaches particulièrement fortes avec la Suisse, ni d’intégration au plan sportif, associatif ou culturel. Le recourant n’établit pas que sa réintégration aux États-Unis serait à ce point difficile qu’elle ne pourrait raisonnablement être exigée de lui. Âgé de 45 ans, il est encore relativement jeune et en bonne santé. Il pourra faire valoir aux États-Unis les connaissances universitaires, professionnelles et linguistiques acquises en Suisse, étant observé qu’il a produit les diplômes de bachelor en sciences et de master en administration de la santé obtenus aux États-Unis en 2010 et 2013. Ainsi, c’est de manière conforme à la loi et sans excès ni abus de son pouvoir d’appréciation que l'OCPM a rejeté la demande de prolongation d'autorisation de séjour du recourant.</w:t>
      </w:r>
    </w:p>
    <w:p>
      <w:r>
        <w:rPr>
          <w:b/>
        </w:rPr>
        <w:t>E. 3</w:t>
      </w:r>
    </w:p>
    <w:p>
      <w:r>
        <w:t>Reste à examiner si le renvoi prononcé par l’OCPM est conforme au droit.</w:t>
      </w:r>
    </w:p>
    <w:p>
      <w:r>
        <w:rPr>
          <w:b/>
        </w:rPr>
        <w:t>E. 3.1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3.2</w:t>
      </w:r>
    </w:p>
    <w:p>
      <w:r>
        <w:t>En l'espèce, dès lors qu'il a, à juste titre, refusé de renouveler l’autorisation de séjour du recourant, l'OCPM devait prononcer son renvoi. Il a été vu plus haut que son retour aux États-Unis est exigible. Il n’invoque aucun élément permettant de retenir que l'exécution de son renvoi ne serait pas possible, licite ou ne pourrait raisonnablement être exigé. De tels éléments ne ressortent pas non plus du dossier. Il suit de là que rien ne s'oppose à l'exécution du renvoi du recourant. Entièrement mal fondé, le recours sera rejeté.</w:t>
      </w:r>
    </w:p>
    <w:p>
      <w:r>
        <w:rPr>
          <w:b/>
        </w:rPr>
        <w:t>E. 4</w:t>
      </w:r>
    </w:p>
    <w:p>
      <w:r>
        <w:t>Vu l’issue du litige, un émolument de CHF 400.- sera mis à la charge du recourant, qui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