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A/3468/2012 vom 23. Mai 2013</w:t>
      </w:r>
    </w:p>
    <w:p>
      <w:r>
        <w:t>GE Cour de justice, 2013-05-23, FR</w:t>
      </w:r>
    </w:p>
    <w:p>
      <w:r>
        <w:rPr>
          <w:b/>
        </w:rPr>
        <w:t xml:space="preserve">Quelle: </w:t>
      </w:r>
      <w:r>
        <w:t>https://mcp.opencaselaw.ch/entscheid/ge_gerichte_A_3468_2012</w:t>
      </w:r>
    </w:p>
    <w:p>
      <w:r>
        <w:t>FR: GE_GERICHTE A/3468/2012 du 23 mai 2013</w:t>
      </w:r>
    </w:p>
    <w:p>
      <w:r>
        <w:t>IT: GE_GERICHTE A/3468/2012 del 23 maggio 2013</w:t>
      </w:r>
    </w:p>
    <w:p>
      <w:pPr>
        <w:pStyle w:val="Heading2"/>
      </w:pPr>
      <w:r>
        <w:t>Erwägungen</w:t>
      </w:r>
    </w:p>
    <w:p>
      <w:r>
        <w:rPr>
          <w:b/>
        </w:rPr>
        <w:t>E. 1</w:t>
      </w:r>
    </w:p>
    <w:p>
      <w:r>
        <w:t>En application de l’art. 66 de la loi sur la procédure administrative du 12 septembre 1985 (LPA - E 5 10), le recours a effet suspensif de par la loi, ce qui est à l’évidence le cas en l’espèce s’agissant du prononcé de l’amende.</w:t>
      </w:r>
    </w:p>
    <w:p>
      <w:r>
        <w:rPr>
          <w:b/>
        </w:rPr>
        <w:t>E. 2</w:t>
      </w:r>
    </w:p>
    <w:p>
      <w:r>
        <w:t>La question est plus délicate au regard de l’ordre de remise en état, le département, dans sa décision du 17 octobre 2012, ayant ordonné le rétablissement d’une situation conforme au droit dans un délai de trente jours et considéré que cette décision d’exécution n’était pas sujette à recours quand bien même le TAPI, dans son jugement du 22 mars 2013, a examiné le bien-fondé de cette mesure « à supposer toutefois que la décision contestée puisse être considérée comme une mesure administrative sujette à recours », tout en confirmant ladite décision.</w:t>
      </w:r>
    </w:p>
    <w:p>
      <w:r>
        <w:rPr>
          <w:b/>
        </w:rPr>
        <w:t>E. 3</w:t>
      </w:r>
    </w:p>
    <w:p>
      <w:r>
        <w:t>Le recourant conteste, dans son recours auprès de la chambre de céans, que la décision en cause soit une mesure d’exécution et qu’il revient sur le fond du litige en sollicitant non pas l’effet suspensif, mais des mesures provisionnelles pour être dispensé de rétablir une situation conforme au droit tant et aussi longtemps que la présente cause n’aura pas été jugée. Or, à teneur de l’art. 21 LPA, l’autorité administrative peut ordonner, d’office ou sur requête, des mesures provisionnelles lorsqu’il est nécessaire de régler provisoirement la situation en cause, jusqu’au prononcé de la décision finale. Selon une jurisprudence constante, de telles mesures ne sont légitimes que si elles s’avèrent indispensables au maintien d’un état de fait, ou à la sauvegarde d’intérêts compromis (ATF 119 V 503 consid. 3 ; ATA/9/2013 du 8 janvier 2013). Elles ne sauraient, en principe, tout au moins, anticiper le jugement définitif, ni équivaloir à une condamnation provisoire sur le fond, ni aboutir abusivement à rendre d’emblée illusoire la portée du procès au fond.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257 à 420, p. 265).</w:t>
      </w:r>
    </w:p>
    <w:p>
      <w:r>
        <w:rPr>
          <w:b/>
        </w:rPr>
        <w:t>E. 4</w:t>
      </w:r>
    </w:p>
    <w:p>
      <w:r>
        <w:t>En l’espèce, le recourant demande, par le biais des mesures provisionnelles, à être dispensé de se conformer à l’injonction du département, le litige tendant à résoudre la question de savoir si la décision du 17 octobre 2012 consistait ou non une mesure d’exécution non susceptible de recours. Le recourant entend ainsi obtenir par ce biais, de manière provisoire certes, le plein de ses conclusions prises par ailleurs sur le fond. Or, selon une jurisprudence constante précitée, de telles mesures provisionnelles ne sauraient, en principe tout au moins, anticiper le jugement définitif ni aboutir abusivement à rendre d’emblée illusoire la portée du procès au fond ( ATA/566/2012 du 21 août 2012 notamment) de sorte que cette requête, en tant qu’elle porte sur l’ordre de rétablissement d’une situation conforme au droit, sera rejetée.</w:t>
      </w:r>
    </w:p>
    <w:p>
      <w:r>
        <w:rPr>
          <w:b/>
        </w:rPr>
        <w:t>E. 5</w:t>
      </w:r>
    </w:p>
    <w:p>
      <w:r>
        <w:t>La présente décision est prise en application de l’art. 7 du règlement interne de la chambre administrative par la présidente de celle-ci. LA PRESIDENTE DE LA CHAMBRE ADMINISTRATIVE rejette la demande de mesures provisionnelles ; confirme l’effet suspensif attaché au recours s’agissant de l’amende ; réserve le sort des frais de la procédure jusqu’à droit jugé au fond ; CELA FAIT : impartit au département un délai au 14 juin 2013 pour se déterminer sur le fond du litige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Pétroz, avocat du recourant, au département de l'urbanisme, ainsi qu’au Tribunal administratif de première instance.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