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A/3465/2023 vom 23. Mai 2024</w:t>
      </w:r>
    </w:p>
    <w:p>
      <w:r>
        <w:t>GE Cour de justice, 2024-05-23, FR</w:t>
      </w:r>
    </w:p>
    <w:p>
      <w:r>
        <w:rPr>
          <w:b/>
        </w:rPr>
        <w:t xml:space="preserve">Quelle: </w:t>
      </w:r>
      <w:r>
        <w:t>https://mcp.opencaselaw.ch/entscheid/ge_gerichte_A_3465_2023</w:t>
      </w:r>
    </w:p>
    <w:p>
      <w:r>
        <w:t>FR: GE_GERICHTE A/3465/2023 du 23 mai 2024</w:t>
      </w:r>
    </w:p>
    <w:p>
      <w:r>
        <w:t>IT: GE_GERICHTE A/3465/2023 del 23 maggio 2024</w:t>
      </w:r>
    </w:p>
    <w:p>
      <w:pPr>
        <w:pStyle w:val="Heading2"/>
      </w:pPr>
      <w:r>
        <w:t>Regeste</w:t>
      </w:r>
    </w:p>
    <w:p>
      <w:r>
        <w:t>RÉTABLISSEMENT DE L'ÉTAT ANTÉRIEUR | LCI.129</w:t>
      </w:r>
    </w:p>
    <w:p>
      <w:pPr>
        <w:pStyle w:val="Heading2"/>
      </w:pPr>
      <w:r>
        <w:t>Volltext</w:t>
      </w:r>
    </w:p>
    <w:p>
      <w:r>
        <w:t>Genf Tribunal administratif de première instance en matière fiscale 23.05.2024 A/3465/2023 Genève Tribunal administratif de première instance en matière fiscale 23.05.2024 A/3465/2023 Ginevra Tribunal administratif de première instance en matière fiscale 23.05.2024 A/3465/2023</w:t>
      </w:r>
    </w:p>
    <w:p>
      <w:r>
        <w:t>RÉTABLISSEMENT DE L'ÉTAT ANTÉRIEUR | LCI.129</w:t>
      </w:r>
    </w:p>
    <w:p>
      <w:r>
        <w:t>A/3465/2023 JTAPI/496/2024 du 23.05.2024 ( LCI ) , REJETE Descripteurs : RÉTABLISSEMENT DE L'ÉTAT ANTÉRIEUR Normes : LCI.129 En fait En droit Par ces motifs RÉPUBLIQUE ET CANTON DE GENÈVE POUVOIR JUDICIAIRE A/3465/2023 LCI JTAPI/496/2024 JUGEMENT DU TRIBUNAL ADMINISTRATIF DE PREMIÈRE INSTANCE du 23 mai 2024 dans la cause Messieurs A______ et B______ , représentés par Jurisconsultes LIAUDET &amp; Associés, avec élection de domicile contre DÉPARTEMENT DU TERRITOIRE-OAC EN FAIT 1.             La C______ (ci-après : C______) est propriétaire de la parcelle n° 1______ de la commune de D______ ; elle est située en zone de développement industriel et artisanal. 2.             Le ______ 1995, Monsieur B______ a obtenu une autorisation de construire portant sur l’édification d’un bâtiment à destination d’atelier et de dépôt (bâtiment n° 2______), une aire de sablage et un container sur ladite parcelle (DD 3______). 3.             Par contrat du 27 juin 1995, un droit de superficie a été constitué sur ladite parcelle en faveur de M. B______ et son épouse, Madame E______. Son article 6 prévoyait que le droit de superficie conférait au superficiaire le droit de construire et d’exploiter le bâtiment résultant du dossier d’autorisation DD 3______. L’article 12 prévoyait par ailleurs les obligations du superficiaire. 4.             Par courrier du 4 février 2022, le service de l’air, du bruit et des rayonnements non ionisants (ci-après : SABRA) a informé M. B______ que, le 21 janvier précédent, il avait visité l’entreprise « F______ » en compagnie de représentants de divers services : il avait été constaté que ladite entreprise occupait l’emplacement de l’ancien garage « G______ » qui avait été détruit lors d’un incendie début octobre 2020 et que les murs de cette partie de l’ancien atelier avaient été récemment reconstruits afin de fermer un couvert existant et y poursuivre des activités de garage-carrosserie. Après recherche dans les bases de données, aucune trace de demande d’autorisation de construire n’avait été trouvée, hormis la DD 3______, ce que Monsieur A______ avait confirmé. Le SABRA demandait alors confirmation que les travaux effectués auraient dû ou non faire l’objet d’une demande d’autorisation de construire auprès du département du territoire (ci-après : DT ou le département) et, dans le cas d’une réponse positive, si une telle demande était existante. 5.             Le 1 er avril 2022, le département a informé M. et Mme B______ et E______, M. A______ ainsi que la C______, par quatre courriers séparés, que lors d’un contrôle sur place du 18 mars 2022, il avait été constaté qu’un ou plusieurs éléments soumis à la loi sur les constructions et les installations diverses du 14 avril 1988 (LCI - L 5 05) auraient été réalisés sans autorisation ; il s’agissait de l’installation de trois containers (et non d’un bâtiment) (objet A), de la construction d’un bâtiment cadastré n° 4______ (objet B), de la construction d’un bâtiment (objet C), de la construction d’un bâtiment cadastré n° 5______ (objet D), de la construction d’un bâtiment (objet E) et de la construction d’un parking et du stockage de véhicules (objet F). Il les invitait à se déterminer sur ces objets dans un délai de dix jours et réservait toutes mesures et/ou sanctions (infraction I-6______). 6.             MM. B______ et A______, sous la plume de leur mandataire, ont adressé leurs observations au département le 20 mai 2022. M. B______ avait mis en sous-location la construction principale autorisée, ayant dû mettre fin à son activité professionnelle. Suite à un incendie criminel, la construction n° 2______ ainsi que les trois containers avaient été entièrement brûlés. M. A______ avait dû procéder lui-même au déblaiement. Les containers objet A qui abritaient les WC et les vestiaires avaient simplement été remplacés par M. B______ et ils abritaient aujourd’hui du matériel et les outils non utilisés. M. A______ n’ayant pas les moyens financiers de reconstruire le bâtiment principal sans le concours de l’assurance, M. B______ lui avait mis à disposition, dans l’urgence et provisoirement le bâtiment objet C - dont le gabarit avec le toit n’était que boulonné et était alors ouvert trois côtés sur quatre. M. B______ ne se souvenait pas s’il avait averti le département de ces constructions. Avec l’hiver, il avait dû fermer les deux côtés avec des tôles. Le bâtiment E était cadastré mais inutilisé. Si des corrections ou des modifications raisonnables devaient être apportées, ils s’exécuteraient dans les meilleurs délais. 7.             Par courrier du 7 avril 2022, la C______ a transmis ses observations au département. 8.             Par décision du ______ 2022, le département a ordonné à MM. B______ et A______, en application des art. 129 ss LCI, de requérir dans un délai de 30 jours une autorisation de construire en procédure définitive complète et en bonne et due forme par le biais d’un mandataire professionnellement qualifié portant sur l’installation de trois containers (A), d’un bâtiment cadastré n° 4______ (B), d’un bâtiment cadastré n° 5______ (D), de deux autres bâtiments (C et E) et d’un parking et du stockage de véhicules (F). Il devra être clairement stipulé sur le formulaire de requête dans la description du projet « Demande de régularisation I-6______ » suivi du détail. Toutefois, s’ils ne souhaitaient pas tenter de régulariser la situation par l’obtention d’une autorisation de construire, il leur était loisible de procéder à la mise en conformité des lieux en procédant à la démolition et à l’évacuation des éléments dans un délai de 30 jours. Dans ce cas, un reportage photographique ou tout autre élément attestant de manière univoque de la mise en conformité devrait lui parvenir dans le même délai. A défaut du dépôt d’une telle requête en autorisation de construire dans le délai imparti et sans mise en conformité complète dans le même délai, son service statuera par décision séparée sur les mesures applicables visant le rétablissement d’une situation conforme au droit. S’agissant de la sanction administrative portant sur la réalisation de travaux sans droit, celle-ci ferait l’objet d’une décision à l’issue du traitement du dossier I-6______, raison pour laquelle elle restait en l’état réservée. 9.             Par acte du 19 septembre 2022, MM. B______ et A______ ont recouru contre cette décision auprès du Tribunal administratif de première instance (ci-après : le tribunal), recours déclaré irrecevable par jugement du ______ 2023 (JTAPI/7______). 10.         Le 9 juin 2023, le département a ordonné à MM. B______ et A______ de requérir, dans un nouveau délai de 30 jours, une autorisation de construire. 11.         Le département a infligé à MM. B______ et A______, le ______ 2023, une amende de CHF 500.-, ayant constaté que ses divers courriers étaient restés sans suite, tout en leur accordant un délai au 31 août 2023 pour requérir une autorisation de construire. S’agissant d’une mesure d’exécution, la présente ne pouvait faire l’objet d’un recours. Par contre, l’amende pouvait faire l’objet d’un recours auprès du tribunal. 12.         Par courriel du 4 septembre 2023, le conseil de MM. B______ et A______ a sollicité auprès du département un délai supplémentaire d’un mois. 13.         Par décision du ______ 2023, le département a ordonné à MM. B______ et A______ le rétablissement d’une situation conforme au droit au 15 novembre 2023, en procédant à la suppression de toutes les constructions et installations sur la parcelle n° 1______, y compris l’évacuation des véhicules. Un reportage photographique attestant de manière univoque de cette remise en état devait lui parvenir dans le même délai. 14.         Par acte du 23 octobre 2023, MM. B______ et A______ ont recouru contre cette décision auprès du tribunal, concluant préalablement à l’octroi d’un délai pour compléter leur recours et à leur audition et, au fond, à son annulation et à ce qu’il soit constaté que les bâtiments A à F avaient été érigés légalement, subsidiairement que leur démolition fut suspendue jusqu’au 31 décembre 2024, sous suite de frais et dépens. L’autorisation de construire DD 3______ visait un atelier/dépôt, une zone de sablage et un container. La zone de sablage recouvrait les bâtiments C-D-E, l’atelier dépôt le bâtiment A et le container le bâtiment B. L’objet F était un espace parking cédé gratuitement à la société H______ SA, avec l’accord de la C______. Les bâtiments B, C, D et E avaient été érigés en 1995, il s’agissait des bâtiments existants à la rue I______ qui avaient été démontés et remontés à l’identique sur le site de D______. Il s’agissait uniquement de constructions tubulaires boulonnées au sol, nécessaires pour respecter le point 9 de l’autorisation de construire, lequel prescrivait l’obligation d’installer des protections latérales évitant la propagation de sable sur les industries voisines. Le bâtiment A, le container B et les parcs F avaient été mis en sous-location à « G______ ». Le bâtiment A avait été intentionnellement incendié le 10 octobre 2020. L’exploitation du garage étant devenue impossible, M. B______ avait mis à disposition de M. A______ la zone de sablage (bâtiments C et D) ; les tôles du bâtiment C avaient dû être replacées suite à l’incendie. C’était en toute bonne foi que M. B______ avait déboulonné les installations tubulaires à J______ et « reboulonné » à l’identique à D______. Il invoquait par ailleurs la prescription acquisitive pour faire échec à la décision, les installations étant présentes et bien visibles depuis 28 ans. 15.         Le département s’est prononcé sur le recours le 9 janvier 2024, concluant à son rejet, sous suite de dépens. Il a produit son dossier. La DD 3______ ne portait que sur la construction du bâtiment n° 2______, à savoir un bâtiment à destination d’atelier et de dépôt ; figurait également sur le plan une aire de sablage. Les recourants faisaient fausse route en considérant que l’élément A aurait été autorisé dans le cadre de cette autorisation, celle-ci ne prévoyant aucunement l’installation de trois containers à cet endroit. Le fait que les objets B, C, D et E ne soient que boulonnés au sol n’avait aucune incidence. Le fait de devoir remplacer les tôles du bâtiment C ne dispensait pas les recourants de solliciter une autorisation de construire pour entreprendre ces travaux. L’élément F était également assujetti à une autorisation de construire. Les recourants estimaient que l’ordre violerait le principe de la bonne foi. Or, ils ne pouvaient déduire du contrat de superficie une autorisation en bonne et due forme des installations encore moins une assurance qu’elles seraient tolérées. En tout état, seul le département était compétent pour autoriser de telles installations. M. B______ ne pouvait par ailleurs ignorer qu’il devait demander une autorisation de construire pour les éléments litigieux, l’ayant fait par le dépôt de la DD 3______. Enfin, ils ne démontraient pas que le département leur aurait donné une quelconque assurance ou indication selon laquelle les installations litigieuses, non comprises dans la DD 3______ seraient tolérées. Pour terminer, les installations litigieuses ayant été édifiées, selon les recourants, il y avait 28 ans, elles ne pouvaient bénéficier de la prescription trentenaire. 16.         Les recourants, sous la plume de leur mandataire, ont répliqué par écriture du 1 er mars 2024. Le contrat de superficie ne mentionnait pas, à son article 12, l’obligation de requérir de nouvelles autorisations de construire ; on pouvait s’étonner de l’absence de cette clause pourtant usuelle. Son article 6 prévoyait quant à lui « le droit de construire et d’exploiter le bâtiment résultant du dossier d’autorisation de construire DD 3______ (…) et à ses compléments ou modifications ». Les termes « compléments et modifications » ajoutaient de la confusion et M. B______ avait été conforté dans son affirmation par 27 ans d’exploitation au vu et au sus de tous, sans que le département de fit la moindre illusion d’illicéité. On peinerait par ailleurs à comprendre pourquoi M. B______ n’aurait pas déposé une telle demande d’autorisation puisqu’il l’avait déjà fait avec la DD 3______. La constitution du droit de superficie avait été ajoutée au prix d’acquisition de la parcelle de J______ pour faire plier les époux B______ et E______ et « éviter une longue procédure d’expropriation qui aurait considérablement retardé le projet d’utilité public » : ils sollicitaient l’« apport de ces dossiers à la présente procédure ». Vu les délais écoulés depuis près de 30 ans, aucune urgence à voir le rétablissement d’une situation conforme ne pouvait être invoquées « pour faire échec à cette requête ». 17.         Le département a dupliqué le 26 mars 2024, maintenant ses conclusions. Le tribunal disposait de tous les éléments pertinents, les raisons pour lesquelles un droit de superficie avait été concédé à M. B______ étant exorbitantes à l’objet du litige. Le département avait par ailleurs produit le microfilm de la DD 3______, son descriptif et un plan illustrant clairement l’atelier-dépôt autorisé. Le fait que les installations litigieuses ne constituent que des installations tubulaires, démontées et remontées à l’identique n’étaient d’aucun secours aux recourants, dans la mesure où l’acte notarié stipulait explicitement que les installations devaient être installées conformément à la demande d’autorisation de construire de DD 3______, ce qui n’était précisément pas le cas. 18.         Les arguments des parties et le contenu des pièces seront repris dans la partie « En droit » dans la mesure utile.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À titre préalable, les recourants sollicitent l’apport de dossiers à la procédure, notamment en lien avec l’acquisition par les époux B______ et E______ d’une parcelle à J______ – sans autres précision - et l’octroi du droit de superficie sur la parcelle n° 1______. 6.             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 Ce droit ne peut toutefois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en procédant d’une manière non arbitraire à une appréciation anticipée des preuves qui lui sont encore proposées, qu’elles ne pourraient l’amener à modifier son opinion (ATF 145 I 167 consid. 4.1 ; 140 I 285 consid. 6.3.1 et les arrêts cités ; arrêts du Tribunal fédéral 1C_576/2021 du 1er avril 2021 consid. 3.1 ; 2C_946/ 2020 du 18 février 2021 consid. 3.1 ; 1C_355/2019 du 29 janvier 2020 consid. 3.1). 7.             Par ailleurs, ce droit ne comprend pas celui d’être entendu oralement (cf. art. 41 in fine LPA ; ATF 140 I 68 consid. 9.6 ; arrêt du Tribunal fédéral 2C_668/2020 du 22 janvier 2021 consid. 3.3 ; ATA/672/2021 du 29 juin 2021 consid. 3b), ni celui d’obtenir l’audition de témoins (ATF 130 II 425 consid. 2.1 ; arrêt du Tribunal fédéral 2C_725/2019 du 12 septembre 2019 consid. 4.1 ; ATA/672/2021 du 29 juin 2021 consid. 3b), ni la tenue d’une inspection locale, en l’absence d’une disposition cantonale qui imposerait une telle mesure d’instruction, ce qui n’est pas le cas à Genève (ATF 120 Ib 224 consid. 2b ; arrêt du Tribunal fédéral 1C_243/2013 du 27 septembre 2013 consid. 3.2.1). 8.             En l’espèce, le tribunal estime que le dossier contient les éléments utiles lui permettant de statuer en connaissance de cause sur le recours. En effet, grâce notamment aux plans et courriers versés au dossier et aux données librement accessibles découlant du SITG, il est parfaitement en mesure de situer et de visualiser la parcelle en cause, les éléments qui y sont érigés et les alentours. Par ailleurs, il est en possession de l’acte notarié portant sur le droit de superficie dont bénéficie M. B______ et les éléments essentiels relatifs à l’autorisation de construire DD 3______. Vu les considérants qui suivent, il n’apparait pas que la production de pièces relatives à l’acquisition d’une parcelle à J______ par M. et Mme B______ et E______ soit nécessaire pour trancher le litige. Dès lors, ces actes d’instruction, en soi non obligatoires, n’étant pas nécessaires pour trancher le présent litige, la requête sera rejetée. 9.             Au fond, les recourants contestent l'ordre de remise en état ordonnant la suppression de tous les éléments litigieux, y compris les véhicules. 10.         Selon l'art. 22 de la loi fédérale sur l’aménagement du territoire du 22 juin 1979 (LAT - RS 700), aucune construction ou installation ne peut être créée ou transformée sans autorisation de l'autorité compétente (al. 1). L'autorisation est délivrée si : a) la construction ou l'installation est conforme à l'affectation de la zone ; b) le terrain est équipé (al. 2). Le droit fédéral et le droit cantonal peuvent poser d'autres conditions (al. 3). 11.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 Jdt 1974 I 642). Un abri mobile servant de logement pour des requérants d'asile remplit cette condition (exemple cité par Alexander RUCH, op. cit, p. 15).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des installations d'éclairage d'une montagne (ATF 123 II 256 ), une installation d'effraiement des oiseaux (arrêt du Tribunal fédéral 1C_136/2007 ) sont soumis à autorisation. Dans son arrêt ATA/161/2021 du 9 février 2021, la chambre administrative de la Cour de justice a retenu qu'un paddock, son chemin d'accès et sa barrière, un marcheur à chevaux, de même qu'un abri en bois pour ces derniers, revêtaient cette qualification d'installation au sens de l'art. 22 al. 1 LAT. 12.         Conformément à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et aménager des voies de circulation, des places de parcage ou une issue sur la voir publique (let. e). L'art. 1 al.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 13.         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14.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ATA/19/2016 du 12 janvier 2016 consid. 5 ; ATA/824/2015 du 11 août 2015 consid. 6b et les références citées). 15.         Les propriétaires ou leurs mandataires, les entrepreneurs et les usagers sont tenus de se conformer aux mesures ordonnées par le département en application de ces deux dispositions (art. 131 LCI). 16.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 ATA/213/2018 précité consid. 11 ; ATA/738/2017 précité consid. 8 ; ATA/829/2016 du 4 octobre 2016). 17.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 18.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 19.         En matière administrative, la jurisprudence admet une application analogique de la disposition sur la prescription acquisitive de l'art. 662 du Code civil suisse du 10 décembre 1907 (CC - RS 210). Elle prévoit que la compétence des autorités pour ordonner la démolition ou la remise en état d'un bâtiment non conforme au droit est soumise en principe à un délai de péremption de trente ans, sous réserve des règles du droit des constructions qui ne souffrirait d'aucune dérogation (arrêt du Tribunal fédéral 1C_2/2020 du 13 mai 2020 consid. 2.1). Exceptionnellement, en effet, la compétence d'exiger la démolition d'une installation pour rétablir une situation conforme au droit peut être exercée au-delà du délai en question, si des motifs de police au sens strict imposent une telle mesure. En outre, inversement, l'autorité peut en être déchue avant l'écoulement des trente ans, lorsque le principe de la bonne foi le commande, en particulier si les autorités ont toléré pendant de nombreuses années la construction illicite (cf. ATF 132 II 21 consid. 6.3 ; 107 Ia 121 consid. 1c ; arrêts du Tribunal fédéral 1C_318/2013 du 10 décembre 2013 consid. 4.1.2 ; 1A.78/2005 du 19 janvier 2006 consid. 5.1 ; 1P.153/2003 du 25 avril 2003 consid. 3). 20.         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Le statut de construction érigée ou transformée légalement ne peut donc s'acquérir avec le temps (arrêts du Tribunal fédéral 1C_2/2020 précité consid. 2.2; 1A.42/2004 du 16 août 2004 consid. 3.2 confirmant l' ATA/67/2004 du 20 janvier 2004 ; ATA/532/2021 du 18 mai 2021 consid. 7 ; ATA/635/2018 du 19 juin 2018 consid. 4). 21.         En l’espèce, les recourants sont bien les perturbateurs par comportement puisque ce sont eux qui ont fait procéder aux travaux d’aménagement sur la parcelle et que M. A______ utilise lesdites installations. Comme cela sera exposé plus loin, une partie de ces aménagements n’ont par ailleurs jamais été autorisés et ont été réalisés depuis moins de trente ans, comme le reconnaissent du reste les recourants dans leurs écritures. Enfin, les recourants n’ont jamais reçu d’assurance ou de promesses du département, le contenu de l’acte notarié octroyant le droit de superficie ne les dispensant aucunement de requérir une autorisation de construire pour les installations qui n’ont pas été autorisées dans la première autorisation délivrée en 1995, laquelle avait du reste été demandée par M. B______ lui-même juste avant la signature de l’acte ; leur bonne foi n’est dès lors pas protégée. De l’aveu même des recourants, les constructions litigeuses ont été érigées depuis 28 ans au moment du dépôt du recours, soit en 1995. Dès lors, la prescription trentenaire ne peut être considérée comme acquise. 22.         L’autorisation de construire DD 3______ portait sur la construction d’un atelier/dépôt (objet cadastré sous le n° 2______), lequel n’est pas visé par la décision querellée, ainsi qu’une aire de sablage - où se situe actuellement l’objet C. Aucune autre installation n’a été autorisée. Or, force est de constater, en référence aux objets énumérés par le département dans son courrier du 1 er avril 2002, les éléments suivants : -          objet A : l’installation de trois containers est sans contestation possible soumise à autorisation et n’a été ni autorisée dans le cadre de la DD 3______ ni ultérieurement ; -          objets B, C (lequel prend place sur l’aire de sablage dûment autorisée), D et E : ces quatre bâtiments n’ont jamais fait l’objet d’une autorisation de construire. Le fait qu’il s’agisse de bâtiments démontés d’une parcelle sise à J______ et remontés à l’identique sur la parcelle n° 1______ ne les soustrait pas à la définition d’une installation soumise à autorisation au sens de la LCI et de la jurisprudence rappelée précédemment ; de même, le fait d’avoir dû remplacer des tôles du bâtiment C suite à l’incendie ne permet pas encore de conclure que le bâtiment en lui-même serait légal et que ces remplacements auraient dispensé les recourants de solliciter une autorisation de construire – en particulier du fait que l’objet C n’a pas été reconstruit à l’identique puisque, notamment, ses côtés ont été fermés ; -          objet F : il s’agit d’un espace de stationnement mis à disposition de l’entreprise H______ SA, sujette à autorisation, laquelle n’a jamais été sollicitée. Au vu de ce qui précède, c’est à juste titre que le département a demandé la remise en état de la parcelle en supprimant toutes les constructions et installations listées dans son courrier du 1 er avril 2022, lesquelles n’ont jamais fait l’objet d’une autorisation de construire et ont ainsi été érigées en toute illégalité. 23.         En tous points mal fondé, le recours est rejeté et la décision confirmée. 24.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23 octobre 2023 par Messieurs A______ et B______ contre la décision du département du territoire du ______ 2023 ; 2.             le rejette ; 3.             met à la charge de Messieurs A______ et B______, pris conjointement et solidairement,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Diane SCHASCA et Carmelo STENDARDO,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