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A/3462/2023 vom 30. Mai 2024</w:t>
      </w:r>
    </w:p>
    <w:p>
      <w:r>
        <w:t>GE Cour de justice, 2024-05-30, FR</w:t>
      </w:r>
    </w:p>
    <w:p>
      <w:r>
        <w:rPr>
          <w:b/>
        </w:rPr>
        <w:t xml:space="preserve">Quelle: </w:t>
      </w:r>
      <w:r>
        <w:t>https://mcp.opencaselaw.ch/entscheid/ge_gerichte_A_3462_2023</w:t>
      </w:r>
    </w:p>
    <w:p>
      <w:r>
        <w:t>FR: GE_GERICHTE A/3462/2023 du 30 mai 2024</w:t>
      </w:r>
    </w:p>
    <w:p>
      <w:r>
        <w:t>IT: GE_GERICHTE A/3462/2023 del 30 maggio 2024</w:t>
      </w:r>
    </w:p>
    <w:p>
      <w:pPr>
        <w:pStyle w:val="Heading2"/>
      </w:pPr>
      <w:r>
        <w:t>Regeste</w:t>
      </w:r>
    </w:p>
    <w:p>
      <w:r>
        <w:t>INTÉRÊT ÉCONOMIQUE;ORGANISATION NON GOUVERNEMENTALE;AUTORISATION DE SÉJOUR | LEI.18</w:t>
      </w:r>
    </w:p>
    <w:p>
      <w:pPr>
        <w:pStyle w:val="Heading2"/>
      </w:pPr>
      <w:r>
        <w:t>Erwägungen</w:t>
      </w:r>
    </w:p>
    <w:p>
      <w:r>
        <w:rPr>
          <w:b/>
        </w:rPr>
        <w:t>E. 12</w:t>
      </w:r>
    </w:p>
    <w:p>
      <w:r>
        <w:t>Aux termes de l'art. 6 RaLEtr, toute demande d'autorisation doit parvenir à l'OCPM au moyen du formulaire officiel (al. 1). L'OCPM détermine si les demandes d'autorisation peuvent être admises sans imputation sur les nombres maximums cantonaux (al. 2). Dans les cas prévus par la LEtr et l'ordonnance, l'OCPM requiert la décision préalable de l'OCIRT (al. 3). Celui-ci rend la décision préalable en matière de marché du travail, après consultation de la commission tripartite pour l'économie (al. 4). La décision préalable lie l'OCPM, qui peut néanmoins refuser l'autorisation si des considérations autres que celles qui ont trait à la situation de l'économie ou du marché du travail l'exigent. Il fait connaître à l'OCIRT les décisions qu'il prend contrairement à sa décision préalable et lui indique les motifs qui l'y ont amené (art. 6 al. 6 RaLEtr). 10.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11.         En raison de sa formulation potestative, l'art. 18 LEI – cité supra – ne confère aucun droit au requérant (arrêts du Tribunal fédéral 2C_819/2 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en tant qu'employeur, la requérante ne dispose d'aucun droit à engager ce dernier en vue de l'exercice d'une activité lucrative en Suisse (arrêt du Tribunal fédéral 2D_57/2015 du 21 septembre 2015 consid. 3 ; arrêt du Tribunal administratif fédéral C-5184/2014 du 31 mars 2016 consid. 3 ; ATA/1094/2019 du 25 juin 2019 consid. 5b). 12.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ATA/187/2018 du 27 février 2018 consid. 4a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F-5074/2018 du 25 juin 2020 consid. 5.3 ; F-4226/207 du 8 octobre 2019 consid. 4.5.1 ; C-857/2013 du 19 mai 2014 consid. 8.3 ; C-3518/2011 du 16 mai 2013 consid. 5.1 ; C-2485/2011 du 11 avril 2013 consid. 6 ; C-6135/2008 du 11 août 2008 consid. 8.2 ; ATA/1280/2015 du 1er décembre 2015 consid. 12 ; ATA/940/2015 du 15 septembre 2015 consid. 7c ; directives LEI, ch. 4.3.1). 13.         Lorsque l'OCIRT est saisi d'une demande émanant d'une ONG, il pose un regard différent sur le dossier qui lui est soumis et prend avant tout en compte les intérêts diplomatiques et politiques de la Genève Internationale, sans se limiter à considérer le seul aspect économique de la demande. Sans compétence particulière dans le domaine des institutions internationales, il requiert ainsi l'avis du CAGI, service de la chancellerie genevoise s'occupant spécifiquement des ONG. Cette manière de procéder est admissible et ne prête aucunement le flanc à la critique, ainsi que le tribunal de céans a eu l'occasion de le juger à réitérés reprises (cf. not. JTAPI/1302/2021 du 21 décembre 2021 ; JTAPI/684/2015 du 05 juin 2015 ; JTAPI/1107/2013 du 9 octobre 2013 ; JTAPI/754/2012 du 5 juin 2012 et JTAPI/441/2012 du 28 mars 2012). 14.         À teneur de ses statuts (ci-après: statuts CAGI), la CAGI est constituée sous la forme d'une association au sens des art. 60 ss du Code civil suisse du 10 décembre 1907 (CC - RS 210 ; art. 1.1 statuts CAGI), dont les membres fondateurs sont l'État de Genève et la Confédération Suisse (art. 3 let. a statuts CAGI). Elle a pour mission d'œuvre en faveur d'un climat d'accueil propice au rayonnement de la Genève Internationale et de veiller aux intérêts de cette dernière dans le cadre de ses compétences. Elle favorise les conditions d'accueil et de séjour des personnes au service d'organismes internationaux ou de représentations diplomatique et consulaire et contribue au renforcement des conditions-cadres d'accueil offerte aux ONG (art. 2.1 statuts CAGI). Elle a notamment pour but d'offrir assistance et conseils aux ONG et d'instruire, en collaboration avec les autorités compétences, les dossiers d'ONG désireuses de s'établir dans la région lémanique (art. 2.2 let. b statuts CAGI). 15.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 C-857/2013 consid. 5). 16.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 du 17 novembre 2020 consid. 6c ; ATA/1094/2019 du 25 juin 2019 consid. 5c ; ATA/1368/2018 du 18 décembre 2018 consid. 3c ; arrêt du Tribunal administratif fédéral C_8717/2010 du 8 juillet 2011 consid. 8.1). 17.         L'étranger doit fournir la preuve ou au moins rendre vraisemblable que les conditions financières et les exigences relatives à l'exploitation de l'entreprise au sens de l'art. 19 let. b LEI sont remplies. Au titre des conditions financières, la loi exige que l'activité prévue génère un revenu suffisant pour couvrir les coûts de l'activité, ainsi que les frais d'entretien de l'étranger. De plus, il faut disposer d'un capital de départ qui permette de commencer ou l'activité sans risque déraisonnable, jusqu'à ce qu'un rendement positif puisse être réalisé. Les exigences liées à l'exploitation de l'entreprise sont remplies si l'infrastructure nécessaire, comme les équipements ou les locaux, est déjà disponible ou s'il est établi que l'étranger peut se la procurer avec une certitude suffisante jusqu'au moment du début de son activité. Si l'exercice de l'activité requiert des qualifications particulières, comme un diplôme universitaire, l'étranger doit également fournir les attestations correspondantes lors du dépôt de sa demande d'autorisation de présence ( ATA/896/2018 du 4 septembre 2018 consid. 7 et les références citées). 18.         L'autorisation doit également s'inscrire dans les limites du contingent fixé par le Conseil fédéral (art. 20 LEI), selon un nombre maximum fixé dans l'annexe 2 de l'OASA, qui est de 91 pour l’année 2024. 19.         Afin de permettre à l'autorité d'examiner les conditions financières et les exigences liées à l'exploitation de l'entreprise, les demandes doivent être motivées et accompagnées des documents conformément à la liste de vérification des annexes à fournir (directives LEI, ch. 4.8.12)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 20.         Les autorités compétentes tiennent compte, en exerçant leur pouvoir d'appréciation, des intérêts publics, de la situation personnelle de l'étranger, ainsi que de son intégration (art. 96 al. 1 LEI). 21.         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 ATA/978/2019 du 4 juin 2019 consid. 4b et les arrêts cités), aucun moyen de preuve ne s'imposant à lui (cf. not. arrêts du Tribunal fédéral 6B_58/2017 du 21 août 2017 consid. 2.1 ; 6B_564/2013 du 22 avril 2014 consid. 2.3). 22.         En outre, l’étranger doit également avoir les qualifications personnelles requises par l’art. 23 LEI et disposer d’un logement approprié (art. 24 LEI). S’agissant de l’art. 25 LEI, il n’est pas applicable in casu, le recourant n’étant pas un frontalier. 23.         En l'espèce, la décision querellée se fonde uniquement sur l'absence d'intérêt économique de la recourante pour la Suisse. D'emblée, le tribunal constate que la réserve comprise dans la décision querellée s'agissant du versement de l'impôt à la source n'est manifestement plus d'actualité, dès lors que la situation est désormais régularisée et que l'AFC a levé sa réserve auprès de l'autorité intimée. En outre, d'après la jurisprudence du tribunal de céans, dans le domaine des ONG, l'avis et le soutien éventuel de la CAGI revêt un poids important dans l'appréciation de l'intérêt économique d'une ONG pour la Genève Internationale. En effet, cette association, fondée par la Confédération et l'État de Genève, constitue la porte d'entrée unique pour l'installation et l'intégration des ONG au sein de la Genève Internationale. Sur son site internet, sous l'onglet « soutien aux ONG internationales », il est vrai, comme le relève la recourante, qu'il est expressément indiqué que « le soutien du CAGI à une ONG est conditionné à son enregistrement dans la base de données du CAGI » (https://www.cagi.ch/fr/prestations/services-ong/ [consulté le 24 mai 2024]). Cela étant, dans la suite du menu-déroulant relatif aux conditions d'accès au soutien du CAGI, il est également précisé clairement que « l’inclusion d’une institution à la base de données du Service ONG est purement informelle et n’engendre aucune reconnaissance officielle. En revanche, la constitution d’un profil complet, à jour et validé par le CAGI est une condition sine-qua-non pour pouvoir bénéficier des soutiens, services et conseils offerts par le CAGI » (https://www.cagi.ch/conditions-acces-soutien/ [consulté le 24 mai 2024]). Dans cette mesure, il ne saurait être admis que la recourante pouvait partir du principe que son inclusion à la base de données de la CAGI était suffisante pour obtenir le soutien de la CAGI, dès lors que des informations contredisant cette position sont aisément disponibles sur son site internet. Or même si depuis le prononcé de la décision litigieuse la recourante a été réintégrée dans la base de données de la CAGI, il ressort du courriel du 20 décembre 2023 de cette dernière que malgré cette réinscription, la recourante ne bénéficie pas de son soutien. En outre, la CAGI a expressément indiqué que l'activité de la recourante était largement inférieure aux projections initiales du plan stratégique de 2020, affirmant sur cette base que son intégration au sein de la Genève Internationale faisait défaut. Par ailleurs, selon le « Strategic Plan 2020 », il était prévu un chiffre d'affaires de CHF 386'000.- la première année, CHF 452'450.- la deuxième année et CHF 644'740.- la troisième année. Or, il ressort sans équivoque du compte de résultat de l'exercice du 30 juillet 2021 au 31 décembre 2022, que la recourante n'a réalisé un chiffre d'affaires que de CHF 57'316.60.-, ce qui est très nettement inférieur à ses projections initiales. À cet égard, s'il est certes vrai que la pandémie a eu un impact sur l'économie de marché, cette situation particulière ne saurait néanmoins expliquer à elle-seule l'écart financier important précité. Il en va de même de l'attente de la décision de l'AFC au sujet de l'exonération fiscale, dont l'obtention préalable ne constitue pas une condition nécessaire pour débuter les opérations d'une ONG à l'image de celles de la recourante. En outre, il est manifeste que la recourante n'a à ce jour toujours pas d'autres employés que M. B______ et rien n'indique que cette situation serait sur le point de changer dans un avenir proche. Dans cette mesure, en se fondant notamment sur l'avis défavorable de la CAGI, l'OCIRT n'a ni excédé ni abusé de son pouvoir d'appréciation en retenant que la recourante ne remplissait pas la condition d'un intérêt économique suffisant. Le tribunal, qui doit faire preuve de retenue et respecter la latitude de jugement conférée à l'OCIRT, ne saurait en corriger le résultat en fonction d'une autre conception, sauf à statuer en opportunité, ce que la loi ne lui permet pas (art. 61 al. 2 LPA). Il n'est ainsi pas nécessaire d'examiner les autres conditions cumulatives de l'art. 18 LEI. Au surplus, il sera relevé que la situation personnelle de M. B______ et des autres membres de sa famille n'est pas déterminantes dans le cadre de cette procédure, laquelle se limite à l'examen de l'intérêt économique. 24.         Mal fondé, le recours est rejeté et la décision confirmée. 25.         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versée à la suite du dépôt du recours. Vu l’issue du litige, aucune indemnité de procédure ne sera allouée (art. 87 al. 2 LPA). 26.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