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A/3453/2006 vom 20. Februar 2007</w:t>
      </w:r>
    </w:p>
    <w:p>
      <w:r>
        <w:t>GE Cour de justice, 2007-02-20, FR</w:t>
      </w:r>
    </w:p>
    <w:p>
      <w:r>
        <w:rPr>
          <w:b/>
        </w:rPr>
        <w:t xml:space="preserve">Quelle: </w:t>
      </w:r>
      <w:r>
        <w:t>https://mcp.opencaselaw.ch/entscheid/ge_gerichte_A_3453_2006</w:t>
      </w:r>
    </w:p>
    <w:p>
      <w:r>
        <w:t>FR: GE_GERICHTE A/3453/2006 du 20 février 2007</w:t>
      </w:r>
    </w:p>
    <w:p>
      <w:r>
        <w:t>IT: GE_GERICHTE A/3453/2006 del 20 febbraio 2007</w:t>
      </w:r>
    </w:p>
    <w:p>
      <w:pPr>
        <w:pStyle w:val="Heading2"/>
      </w:pPr>
      <w:r>
        <w:t>Erwägungen</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w:t>
      </w:r>
    </w:p>
    <w:p>
      <w:r>
        <w:rPr>
          <w:b/>
        </w:rPr>
        <w:t>E. 3</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L'OCAI ayant entamé la procédure de révision qui a conduit à sa décision sur opposition du 22 août 2006, en mai 2004, la LPGA s'applique au cas d'espèce.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Tribunal de céans constate que le recours, interjeté dans les formes et délai légaux prévus par l’art. 60 LPGA est recevable.</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Aux termes de l’art. 28 al. 1 LAI, en vigueur depuis le 1 er janvier 2004, l’assuré a droit à un quart de rente si le taux d'invalidité atteint 40% au moins, à une demi-rente s’il atteint 50% au moins, à trois-quarts de rente s’il atteint 60% et à une rente entière s’il atteint 70% au moins. c)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 ni à reconsidération -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selon l'art. 17 LPGA doit ainsi clairement ressortir du dossier (ATFA non publié du 12 octobre 2005, I 8/04, consid. 2; MUELLER, Die materiellen Voraussetzungen der Rentenrevision in der Invalidenversicherung, thèse Fribourg 2002, pp. 133 ss). La réglementation sur la révision de la rente ne saurait en effet constituer un fondement juridique à un réexamen sans condition du droit à la rente. Enfin, il convient de préciser que l'art. 17 LPGA n'a pas apporté de modification aux principes jurisprudentiels développés sous le régime de l'ancien art. 41 LAI, en vigueur jusqu'au 31 décembre 2002 (ATF 130 V 343 consid. 3.5). d)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19 décembre 2002, I 222/02, consid. 3.2, et les références). Il convient en l’occurrence de déterminer si la décision initiale de l’OCAI (octroi d’une demi-rente d’invalidité le 23 mars 1996 avec effet au 1 er février 1992) peut être réexaminée par la voie de la révision ou par celle de la reconsidération. Pour que l’art. 17 LPGA s’applique, il faut que le taux d’invalidité ait subi une modification notable, après la décision initiale. Or le médecin traitant ne fait état d’aucune amélioration et estime que l’état de santé de son patient est stationnaire. L’expert D_________ ne fait pas non plus mention d’une amélioration, mais constate que la situation s’est stabilisée depuis 1995. Ainsi sans référence aucune dans les documents médicaux à une amélioration notable de l’état de santé du recourant, il n’est manifestement pas possible de procéder à une révision selon l’art. 17 LPGA.</w:t>
      </w:r>
    </w:p>
    <w:p>
      <w:r>
        <w:rPr>
          <w:b/>
        </w:rPr>
        <w:t>E. 7</w:t>
      </w:r>
    </w:p>
    <w:p>
      <w:r>
        <w:t>Reste à établir si la décision initiale de l’OCAI peut être revue par la voie de la reconsidération. Il convient pour ce faire de déterminer si celle-ci était à l’époque manifestement erronée ou pas. Dans un ATFA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du 17 janvier 1961 - RAI). Or, s’il apparaît ultérieurement, à la suite d’une nouvelle analyse de la situation, que l’appréciation médicale du cas à l’époque était critiquable, cela ne rend pas pour autant la décision prise sur cette base comme étant manifestement erronée ». En l’occurrence, pour octroyer la rente, l’OCAI a pris sa décision initiale sur la base du rapport du médecin traitant, qui estimait que son patient n’était plus apte à exercer des travaux lourds, mais conservait une capacité résiduelle de travail qu’il préconisait d’évaluer au moyen de mesures professionnelles. L’assuré a alors été soumis à un stage au COPAI au terme duquel les maîtres d'atelier ont conclu à ce qu’il était capable de travailler avec un rendement de l'ordre de 50% dans des domaines tels que le montage de bracelets de montres à l'établi ou dans le secteur "talons-bar et clés-minute" avec une petite formation pratique ou encore en tant que polisseur avec une formation sur le tas. Aussi l’OCAI a-t-il procédé à l’époque à une comparaison des revenus avant et après invalidité en tenant compte d’un revenu après invalidité de 50%, conformément aux conclusions du stage au COPAI et des rapports du médecin traitant. Peut-être aurait-il été opportun, alors, de soumettre le recourant à une expertise orthopédique ou rhumatismale, soit à un avis médical indépendant. Cependant, en présence d’un rapport médical et d’un rapport de stage professionnel concordant, l’on ne saurait considérer que l’instruction menée à l’époque par l’intimé ait été alors lacunaire et que la décision prise fût manifestement erronée. Enfin, la prise d'activité à 50% par le recourant n'a en l'occurrence pas d'incidence sur le droit à la rente, puisque l'OCAI, au moment de sa décision initiale, a tenu compte d'un gain après invalidité de 50%, conformément aux conclusions des maîtres professionnels du COPAI. Dès lors, une nouvelle comparaison des revenus, suite à la prise d'activité du recourant, aboutit également à un taux d'invalidité supérieur à 50%, donnant droit au maintien de la demi-rente d'invalidité. Ainsi, en l’absence d’un motif de révision ou de reconsidération de la décision du 23 mars 1996, la demi-rente d’invalidité accordée au recourant doit être maintenue.</w:t>
      </w:r>
    </w:p>
    <w:p>
      <w:r>
        <w:rPr>
          <w:b/>
        </w:rPr>
        <w:t>E. 9</w:t>
      </w:r>
    </w:p>
    <w:p>
      <w:r>
        <w:t>Au vu de ce qui précède, le recours, bien fondé, sera admis. Enfin, le recourant obtenant gain de cause aura droit à des dépens (art. 61 al. 1 let. d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