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A/3451/2020 vom 7. Oktober 2021</w:t>
      </w:r>
    </w:p>
    <w:p>
      <w:r>
        <w:t>GE Cour de justice, 2021-10-07, FR</w:t>
      </w:r>
    </w:p>
    <w:p>
      <w:r>
        <w:rPr>
          <w:b/>
        </w:rPr>
        <w:t xml:space="preserve">Quelle: </w:t>
      </w:r>
      <w:r>
        <w:t>https://mcp.opencaselaw.ch/entscheid/ge_gerichte_A_3451_2020</w:t>
      </w:r>
    </w:p>
    <w:p>
      <w:r>
        <w:t>FR: GE_GERICHTE A/3451/2020 du 7 octobre 2021</w:t>
      </w:r>
    </w:p>
    <w:p>
      <w:r>
        <w:t>IT: GE_GERICHTE A/3451/2020 del 7 ottobre 2021</w:t>
      </w:r>
    </w:p>
    <w:p>
      <w:pPr>
        <w:pStyle w:val="Heading2"/>
      </w:pPr>
      <w:r>
        <w:t>Erwägungen</w:t>
      </w:r>
    </w:p>
    <w:p>
      <w:r>
        <w:rPr>
          <w:b/>
        </w:rPr>
        <w:t>E. 5</w:t>
      </w:r>
    </w:p>
    <w:p>
      <w:r>
        <w:t>ème Chambre En la cause Monsieur A______, domicilié à VEIGY-FONCENEX, France, représenté par Monsieur B______ recourant contre SUVA CAISSE NATIONALE SUISSE D'ASSURANCE EN CAS D'ACCIDENTS, Division juridique, sise Fluhmattstrasse 1, LUZERN intimée EN FAIT 1.        Monsieur A______ (ci-après : l’assuré ou le recourant), né le ______ 1955, de nationalité française et domicilié en France, exerçant l’activité de poseur de parquets, a été victime d’un accident non professionnel, en date du 15 juin 2019. Alors qu’il pratiquait le VTT dans les bois de Jussy, il a soudain chuté dans un fossé, d’une hauteur de 1.5 m et s’est blessé au genou droit. 2.        Par déclaration de sinistre LAA du 4 juillet 2019, l’accident a été annoncé à la SUVA. Par courrier du 9 juillet 2019, cette dernière a informé l’assuré que les factures des traitements médicaux suivis en France devaient être soumis à la caisse primaire d’assurance-maladie (ci-après : CPAM). 3.        Une IRM du genou droit effectuée en date du 5 juillet 2019 a confirmé, notamment, un important épanchement intra articulaire dont partie fuse dans un kyste de Baker, au genou droit avec une importante gonarthrose tri-compartimentale et une chondropathie favorisée par des atteintes méniscales bilatérales. 4.        L’assuré a été opéré en date du 1 er octobre 2019, pour une arthroplastie totale du genou droit, par prothèse Persona cimentée. Suite à un contrôle effectué à l’hôpital de la Tour en date du 15 janvier 2020, il a été constaté un aspect normal de la prothèse et un épanchement articulaire modéré du genou droit. 5.        Le médecin-conseil de la SUVA, le docteur C______, spécialiste en chirurgie orthopédique, a considéré, dans un rapport du 1 er mai 2020 que la situation était suffisamment stabilisée pour permettre la clôture du dossier. Il a examiné l’assuré en date du 22 mai 2020 et a retenu les limitations fonctionnelles suivantes : pas de position à genoux, pas d’accroupissement/relèvement fréquent, pas de travail sur des échelles, pas de montée/descente d’escalier, pas de soulèvement de charges supérieures à 30 kg, précisant que l’exigibilité actuelle était à 80% et dans deux mois serait à 100% sans perte de rendement, étant précisé que l’assuré ne prenait plus aucun médicament antalgique. 6.        Se fondant sur le rapport de son médecin-conseil, la SUVA a informé l’assuré, par courrier du 28 mai 2020, que le versement des prestations pour frais de traitement était suspendu dès lors que la poursuite du traitement ne saurait apporter une amélioration significative de l’état de santé consécutif à l’accident, mais que la poursuite du traitement de physiothérapie était prise en charge jusqu’au 31 juillet 2020, ainsi qu’une visite annuelle avec examen radiologique auprès du médecin traitant de l’assuré dans le cadre du suivi de la prothèse et qu’enfin une indemnité journalière lui serait versée jusqu’au 31 août 2020, sur la base d’une incapacité de travail à 100%. 7.        Selon entretien téléphonique du 13 juillet 2020, ayant fait l’objet d’une notice téléphonique de Monsieur D______, gestionnaire du cas de l’assuré auprès de la SUVA, l’assuré indiquait qu’il aurait aimé percevoir les indemnités journalières jusqu’au 31 décembre 2020, soit jusqu’à la veille de sa mise en retraite, mais qu’il avait été tranquillisé en apprenant qu’un capital unique de plus de CHF 40'000.- lui serait versé bientôt à titre d’indemnité pour l’atteinte à l’intégrité (IPAI). À cet effet, le montant de CHF 44'460.- a été versé par la SUVA sur le compte bancaire de l’assuré, en date du 31 juillet 2020. 8.        La SUVA a rendu une décision en date du 31 juillet 2020, par laquelle elle a rappelé que sur la base des informations en sa possession, les séquelles de l’accident du 15 juin 2019 n’empêchaient pas l’assuré de déployer une activité professionnelle en tenant compte des limitations suivantes : pas de position à genoux, pas d’accroupissement et de relèvement fréquent, pas de travail sur des échelles, éviter de monter et descendre des escaliers, pas de soulèvement de charges supérieures à 30 kg. En prenant en compte le salaire annuel de l’assuré, soit CHF 75'000.- et en se référant à l’échelle des compétences 2 du tableau de l’enquête sur la structure des salaires (ESS), la SUVA a retenu un salaire théorique de CHF 71'946.- qui pourrait encore être exigible, considérant qu’aucun abattement n’était justifié dans le cas d’espèce. Après comparaison des salaires, la perte économique était inférieure à 10%, ce qui ne donnait pas droit à l’allocation d’une rente d’invalidité. La SUVA mettait fin au paiement des frais de traitement, hormis la physiothérapie jusqu’au 31 juillet 2020, une visite annuelle avec examen radiologique auprès du docteur E______ dans le cadre du suivi de la prothèse, puis des consultations à 2, 5 et 10 ans, et au-delà, tous les 5 ans avec, à chaque fois, un examen radiologique. L’indemnité journalière était, quant à elle, versée jusqu’au 31 août 2020. 9.        Par courrier du 27 août 2020, l’assuré s’est opposé à la décision du 31 juillet 2020, faisant valoir qu’en raison des limitations fonctionnelles, il ne pouvait plus reprendre son activité de poseur de plancher, qu’il exerçait depuis 1990 et qui nécessitait qu’ils se mette fréquemment à genoux. Dès lors qu’il était âgé de 64 ans et huit mois, il n’envisageait pas de pouvoir se former et reprendre une nouvelle activité pour seulement quelques mois. Par conséquent, il ne comprenait pas la décision de la SUVA d’arrêter le versement des indemnités journalières au 31 août 2020, alors qu’il ne percevrait sa rente AVS qu’en date du 1 er janvier 2021. Il allait donc consulter un avocat afin de se renseigner sur ses droits. 10.    En date du 28 septembre 2020, la SUVA a constaté qu’aucun avocat n’avait pris contact avec elle et a écarté l’opposition de l’assuré avant de confirmer la décision du 31 juillet 2020, reprenant la motivation de cette dernière. 11.    Par écriture du 28 octobre 2020 postée le jour même, le conseil de l’assuré a recouru contre la décision sur opposition du 28 septembre 2020 et a conclu à son annulation, ainsi qu’à l’octroi d’une rente d’invalidité pleine et entière jusqu’au 31 décembre 2020 en relation avec un salaire annuel de CHF 75'000.-. Le recourant reprochait à la SUVA de n’avoir pas pris en considération, dans le cadre d’une analyse globale de la situation, son âge et le fait qu’il n’était pas, de manière réaliste, en mesure de retrouver un emploi sur un marché équilibré du travail. Il a reproché à la SUVA, dans ses décisions du 31 juillet et du 28 septembre 2020, d’avoir négligé de procéder à l’analyse globale de la situation, compte tenu du fait qu’il ne pouvait plus exercer sa profession de parqueteur en raison de ces limitations fonctionnelles, notamment éviter les positions à genoux et qu’à quatre mois de la retraite, compte tenu également de la très grave situation pandémique due à la COVID-19, une réinsertion professionnelle était « totalement illusoire » et « réellement impossible ». De ce fait, on ne pouvait suivre la conclusion de la SUVA selon laquelle « une diminution notable de la capacité de gain due à l’accident n’existe pas ». Par conséquent, l’analyse comparative entre le revenu d’invalide et le revenu sans invalidité était erronée et la décision devait être annulée. 12.    Dans sa réponse du 25 novembre 2020, la SUVA a rappelé que dès lors que l’assuré n’avait contesté, ni le droit à l’indemnité, ni la quotité de cette dernière, que ce soit au stade de l’opposition et au stade du recours, la décision du 31 juillet 2020 était entrée en force sur ce point. S’agissant de la question de l’âge, l’intimée a confirmé que c’était à bon droit qu’elle avait fait abstraction de ce point, en application de l’art. 28 al. 4 LAA (recte : art. 28 al. 4 OLAA) et de la jurisprudence citée. Par surabondance de moyens, l’intimée a relevé que le recourant ne contestait pas les conclusions médicales selon lesquelles il présentait une capacité de travail entière, dans une activité adaptée à ses limitations fonctionnelles et que lesdites imitations n’étaient pas susceptibles d’influencer les perspectives salariales du recourant dans les tâches correspondant au niveau de compétence 2 auquel il avait été rattaché sans contestation de sa part, ni lors de l’opposition, ni lors du recours. Dès lors, aucune réduction du salaire statistique retenu au titre du revenu d’invalide ne devait être opérée. 13.    Par courrier du 25 janvier 2021, le conseil du recourant a renoncé à répliquer. 14.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4.        Le délai de recours est de trente jours (art. 56 LPGA; art. 62 al. 1 de la loi sur la procédure administrative du 12 septembre 1985 [LPA - E 5 10]). Interjeté dans la forme et le délai prévus par la loi, le recours est recevable. 5.        Le litige porte sur bien-fondé du refus d’une rente d’invalidité par la SUVA.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ATF 125 V 195 consid. 2; RAMA 2000 n° U 363 p. 46). 7.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Cependant,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(RAMA 2005 n° U 557 p. 388, U 244/04 consid. 3.1 ; arrêt du Tribunal fédéral 8C_179/2014 du 16 mars 2015 consid. 4.1). 8.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 ATF 126 V 75 consid. 3b/aa). b. Si l'on ne peut déterminer ou évaluer sûrement le revenu hypothétique sans invalidité et le revenu d'invalide, il faut, en s'inspirant de la méthode spécifique pour non-actifs (art. 8 al. 3 LPGA),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arrêt du Tribunal fédéral 8C_748/2008 du 10 juin 2009 consid. 2.1). 9.        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c.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d.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A cet égard, l’ESS 2018 a été publiée le 21 avril 2020 ; l’ESS 2016, le 26 octobre 2018 (étant précisé que le tableau T1_tirage_skill_level a été corrigé le 8 novembre 2018) ; et l’ESS 2014, le 15 avril 2016.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étant toutefois précisé que le Tribunal fédéral a laissée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 20 décembre 1982 (OLAA - RS 832.202; cf. arrêts du Tribunal fédéral 8C_661/2018 du 28 octobre 2019 consid. 3.3.4.2. et 8C_122/2019 du 10 septembre 2019 consid. 4.3.2 et les références citées). Dans son arrêt 8C_661/2018 du 28 octobre 2019 consid. 3.3.4.2 le Tribunal fédéral a déclaré que « l'âge d'un assuré ne constitue pas en lui-même un facteur de réduction du salaire statistique. Autrement dit, il ne suffit pas de constater qu'un assuré a dépassé la cinquantaine au moment déterminant de la naissance du droit à la rente pour que cette circonstance justifie de procéder à un abattement. Encore récemment (arrêt 8C_227/2017 du 17 mai 2018 consid. 5),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le recourant ne conteste pas être en mesure d'exercer une activité à plein temps, sans limitation de rendement, si l'activité respecte ses limitations fonctionnelles. Les indemnités journalières n’ont plus été versées à partir du 1 er septembre 2020 et le recourant a atteint l’âge de la retraite le 17 décembre 2020 et a eu droit au versement de sa rente AVS dès le 1 er janvier 2021 (art. 21 al. 2 LAVS). L’intimée a considéré qu’il n’y avait plus lieu d'attendre de la continuation du traitement médical une sensible amélioration de l'état de santé de l'assuré et qu'aucune mesure de réadaptation de l'assurance-invalidité n'entrait en considération, mais qu'aucune rente n'était allouée car l'assuré présentait un taux d'invalidité inférieur au seuil de 10% prévu par l'art. 18 al. 1 LAA (cf. ATF 134 V 109 consid. 4.1 ; ATF 133 V 57 consid. 6.6.2). Le recourant ne conteste pas l’arrêt du traitement ni l’absence de mesure de réadaptation. Il allègue qu’il n’a pas repris d’activité lucrative, après l’accident du 15 juin 2019, car dans le court laps de temps séparant le 1 er septembre 2020 du 1 er janvier 2021, il était illusoire de retrouver un emploi sur un marché équilibré du travail, raison pour laquelle – selon lui – une rente d’invalidité devait lui être versées par la SUVA jusqu’au 31 décembre 2020. À l’appui de son recours, l’assuré produit l’arrêt du Tribunal fédéral du 4 mars 2016, ( 9C_899/2015 ) rendu dans un cas d’application de la LAI. D'emblée, il convient de relever que l'âge avancé d'un assuré - comme facteur prépondérant à son empêchement de maintenir sa capacité de gain - n'est pas pris en considération de la même manière en assurance-invalidité et en assurance-accidents, dans laquelle l'art. 28 al. 4 OLAA, en lien avec l'art. 18 al. 2 LAA, commande de faire abstraction du facteur de l'âge pour les deux termes de la comparaison des revenus (cf. ATF 134 V 392 consid. 6.2 p. 398 ; 122 V 418 consid. 3b). En effet, l'art. 28 al. 4 OLAA vise à empêcher l'octroi de rentes d'invalidité de l'assurance-accidents qui comporteraient, en fait, une composante de prestation de vieillesse (arrêt du Tribunal fédéral 8C_37/2017 du 15 septembre 2017 consid. 6.1 et les références). Il n'y a dès lors pas lieu de procéder à l'analyse globale applicable en matière d'assurance-invalidité. La question de l’âge à prendre en considération est précisée dans l’ATF 114 V 310 consid. 4 a) « Bei der Invaliditätsbemessung aufgrund von Art. 28 Abs. 4 UVV ist von der Frage auszugehen, wie sich der im Zeitpunkt des Rentenbeginns bestehende versicherte Gesundheitsschaden bei einem Versicherten mittleren Alters in erwerblicher Hinsicht auswirken würde. Zum Vergleich hat eine Person mit den gleichen beruflichen und persönlichen Fähigkeiten zu dienen, wie sie der Rentenbewerber aufweist. Für die hypothetischen Validen- und Invalideneinkommen ist massgebend, was diese Person auf dem ihr offenstehenden (ausgeglichenen) Arbeitsmarkt zumutbarerweise verdienen könnte ». Le Tribunal fédéral se fonde ainsi sur le revenu qu’une personne d’âge moyen, ayant les mêmes compétences professionnelles que le recourant, pourrait réaliser. S’agissant de l’abattement, dans son arrêt 8C_661/2018 du 28 octobre 2019 consid. 3.3.4.2, le Tribunal fédéral a déclaré que « l'âge d'un assuré ne constitue pas en lui-même un facteur de réduction du salaire statistique. Autrement dit, il ne suffit pas de constater qu'un assuré a dépassé la cinquantaine au moment déterminant de la naissance du droit à la rente pour que cette circonstance justifie de procéder à un abattement. Encore récemment (arrêt 8C_227/2017 du 17 mai 2018 consid. 5),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 Dans le cas d'un assuré âgé de 56 ans au moment de l'ouverture du droit à la rente, le Tribunal fédéral a considéré que les conditions pour une déduction liée à l'âge n'étaient en toute hypothèse pas remplies (arrêt du Tribunal fédéral 8C_878/2018 du 21 août 2019 consid. 5.3.1 et les références). In casu , l’assuré était âgé de 64 ans et 8 mois au moment où la SUVA a cessé de verser les indemnités journalières. Il faut donc examiner si, dans les 4 mois qui restaient avant d’arriver à l’âge de la retraite, l’effet de l’âge du recourant, combiné avec ses limitations fonctionnelles constituaient un facteur d’abattement qui n’était pas susceptible d’être compensé par d’autres éléments personnels ou professionnels. Dans l’exercice d’une activité adaptée correspondant au niveau 2 (tâches pratiques telles que la vente, les soins, le traitement des données, les tâches administratives, l'utilisation de machines et d'appareils électroniques, les services de sécurité et la conduite de véhicules) à laquelle le recourant a été rattaché, la chambre de céans considère que le critère de l’âge peut entrer en ligne de compte, ce d’autant plus lorsque l’âge de la retraite sera atteint 4 mois plus tard. En effet, des activités de niveau 2 impliquent que l’employeur octroie une certaine formation à l’assuré qui paraît peu compatible avec un engagement limité à une période de 4 mois. Par ailleurs, on ne voit pas quels éléments personnels ou professionnels seraient de nature à compenser le critère de l’âge et des limitations fonctionnelles admises, soit : pas de position à genoux, pas d’accroupissement et de relèvement fréquent, pas de travail sur des échelles, éviter de monter et descendre des escaliers, pas de soulèvement de charges supérieures à 30 kg. Dès lors, la solution que l’intimée a adoptée dans le cas concret, dans le cadre de son pouvoir d’appréciation et en respectant les principes généraux du droit, ne semble pas être la plus judicieuse quant à son résultat. La chambre de céans considère qu’en tenant compte des limitations fonctionnelles et de l’âge du recourant, qui a dépassé la soixantaine et se trouve à 4 mois de l’âge de la retraite, il y a lieu d’appliquer un abattement de 10% qui, au vu de l’ensemble des circonstances, est une appréciation plus appropriée que celle retenue par l’intimée. Par conséquent, il sied de reprendre le salaire sans invalidité de CHF 75'000.- et, en se référant à l’échelle des compétences 2 du tableau de l’enquête sur la structure des salaires (ESS), le salaire théorique de CHF 71'946.- retenu par la SUVA. En appliquant un abattement de 10%, qui tient compte de l’âge et des limitations fonctionnelles décrites supra , on aboutit à un salaire théorique, après abattement, de CHF 64'751.-. La comparaison entre le salaire sans invalidité de CHF 75'000.- et le salaire avec invalidité (après abattement) de CHF 64'751.- mène à la constatation d’une perte de gain dont le taux s’élève à 13,66%.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Il y a donc lieu d’arrondir le taux d’invalidité à 14%. Supérieur à 10%, ce taux entraîne le droit à une rente d’invalidité au sens de l’art. 18 al. 1 LAA. 12.    Compte tenu de ce qui précède, la décision sera annulée et le recourant sera mis au bénéfice d'une rente d'invalidité de 14 %. 13.    Dans la mesure où l'intimée succombe et que le recourant est assisté d’un mandataire professionnellement qualifié, la SUVA sera condamnée à verser au recourant une indemnité de CHF 2'000.- à titre de dépens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