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A/344/2025 vom 11. März 2025</w:t>
      </w:r>
    </w:p>
    <w:p>
      <w:r>
        <w:t>GE Cour de justice, 2025-03-11, FR</w:t>
      </w:r>
    </w:p>
    <w:p>
      <w:r>
        <w:rPr>
          <w:b/>
        </w:rPr>
        <w:t xml:space="preserve">Quelle: </w:t>
      </w:r>
      <w:r>
        <w:t>https://mcp.opencaselaw.ch/entscheid/ge_gerichte_A_344_2025</w:t>
      </w:r>
    </w:p>
    <w:p>
      <w:r>
        <w:t>FR: GE_GERICHTE A/344/2025 du 11 mars 2025</w:t>
      </w:r>
    </w:p>
    <w:p>
      <w:r>
        <w:t>IT: GE_GERICHTE A/344/2025 del 11 marzo 2025</w:t>
      </w:r>
    </w:p>
    <w:p>
      <w:pPr>
        <w:pStyle w:val="Heading2"/>
      </w:pPr>
      <w:r>
        <w:t>Erwägungen</w:t>
      </w:r>
    </w:p>
    <w:p>
      <w:r>
        <w:rPr>
          <w:b/>
        </w:rPr>
        <w:t>E. 2</w:t>
      </w:r>
    </w:p>
    <w:p>
      <w:r>
        <w:t>Il convient donc d’examiner le bien-fondé du refus de reconsidération.</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ATA/922/2024 du 6 août 2024 consid. 3.1 ; ATA/512/2024 du 23 avril 2024 consid 3.1 ; ATA/651/2023 du 20 juin 2023 consid. 4.1).</w:t>
      </w:r>
    </w:p>
    <w:p>
      <w:r>
        <w:rPr>
          <w:b/>
        </w:rPr>
        <w:t>E. 2.2</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du 23 avril 2024 consid 3.2 ; ATA/651/2023 précité consid. 4.1 in fine).</w:t>
      </w:r>
    </w:p>
    <w:p>
      <w:r>
        <w:rPr>
          <w:b/>
        </w:rPr>
        <w:t>E. 2.3</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 e éd., 2018, n. 1417).</w:t>
      </w:r>
    </w:p>
    <w:p>
      <w:r>
        <w:rPr>
          <w:b/>
        </w:rPr>
        <w:t>E. 2.4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2.5</w:t>
      </w:r>
    </w:p>
    <w:p>
      <w:r>
        <w:t>En l’espèce, l’intimé n’est pas entré en matière sur la demande de reconsidération au motif qu’aucun fait ou moyen de preuve nouveau et important que le recourant n’aurait pas été en mesure de produire plus tôt n’avait été produit. Les conditions de l’art. 80 al. 1 let. a LPA n’étaient pas non plus remplies, ce que l’intéressé n’avait d’ailleurs pas allégué. Ce raisonnement est fondé. En effet, le recourant n’a apporté aucun élément nouveau qui aurait permis de remettre en cause la décision de refus de transcrire le jugement de divorce marocain. Les pièces qu’il a produites, à savoir le jugement déclarant irrecevable la demande en divorce du 28 mars 2022, le mémoire de contestation de la validité de la notification de la demande en divorce du 26 avril 2022 ainsi que le jugement de divorce du 8 novembre 2023, figuraient déjà au dossier ayant donné lieu à la décision de refus de transcrire le divorce. Par ailleurs, ces pièces n’établissent nullement que les parties auraient déplacé leur domicile au Maroc en 2023, ni a fortiori que les adresses leur étant attribuées sur le jugement de divorce correspondaient à celles de leur domicile respectif. Aucune de ces pièces ne démontre, de surcroît, que la seconde demande en divorce, formée après le jugement déclarant la première demande en divorce irrecevable, ainsi que les actes de procédure s’y rapportant, singulièrement les convocations, auraient été valablement notifiés à l’épouse. Enfin, l’incurie des avocats consultés à Genève avait déjà été alléguée précédemment par le recourant, qui avait produit la décision de la commission du barreau sanctionnant l’un d’eux pour son inactivité, et ne constituait donc pas non plus un fait nouveau. Dans ces conditions, le refus d’entrer en matière sur la demande en considération ne prête pas le flanc à la critique.</w:t>
      </w:r>
    </w:p>
    <w:p>
      <w:r>
        <w:rPr>
          <w:b/>
        </w:rPr>
        <w:t>E. 3</w:t>
      </w:r>
    </w:p>
    <w:p>
      <w:r>
        <w:t>Enfin, il est observé que même si la demande en reconsidération – formée dans le délai de recours contre la décision du 31 octobre 2024 – aurait dû être traitée comme un recours contre cette décision et être transmise à la chambre administrative comme objet de sa compétence, cela ne permettrait pas d’admettre la demande de transcription du divorce, comme exposé ci-après.</w:t>
      </w:r>
    </w:p>
    <w:p>
      <w:r>
        <w:rPr>
          <w:b/>
        </w:rPr>
        <w:t>E. 3.1</w:t>
      </w:r>
    </w:p>
    <w:p>
      <w:r>
        <w:t>En application des art. 25 let. c et 27 al. 1 et 2 de la loi fédérale sur le droit international privé du 18 décembre 1987 (LDIP - RS 291), une décision étrangère est reconnue en Suisse, sauf si, notamment : elle est manifestement incompatible avec l'ordre public suisse (art. 27 al. 1 LDIP); une partie établit qu'elle n'a pas été valablement citée dans la procédure ayant conduit au jugement, ni selon le droit de son domicile, ni selon le droit de sa résidence habituelle (art. 27 al. 2 let. a LDIP); la décision a été rendue en violation de principes fondamentaux ressortissant à la conception suisse du droit de procédure, notamment que ladite partie n'a pas eu la possibilité de faire valoir ses moyens (art. 27 al. 2 let. b LDIP).</w:t>
      </w:r>
    </w:p>
    <w:p>
      <w:r>
        <w:rPr>
          <w:b/>
        </w:rPr>
        <w:t>E. 3.2</w:t>
      </w:r>
    </w:p>
    <w:p>
      <w:r>
        <w:t>De façon générale, la réserve de l'ordre public doit permettre aux autorités de ne pas apporter la protection des autorités suisses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Un jugement étranger peut être incompatible avec l'ordre public suisse non seulement à cause de son contenu, mais également en raison de la procédure dont il est issu (ATF 142 III 180 consid. 3.2). L'ordre public suisse exige à cet égard notamment le respect des règles fondamentales de la procédure, déduites de la Constitution, tels notamment le droit à un procès équitable et celui d'être entendu (ATF 126 III 327 consid. 2). La condition que le défendeur ait été cité régulièrement vise la notification de l'acte introductif d'instance, par lequel le défendeur est informé de la procédure ouverte contre lui et de la possibilité de faire valoir ses moyens de défense, comme le précise expressément l'article 29 al. 1 let. c LDIP. La notification doit être effectuée régulièrement selon le droit de procédure applicable. L'art. 27 al. 2 let. a LDIP entend ainsi refuser la reconnaissance à un jugement étranger rendu dans une procédure menée de manière incorrecte à l'égard du défendeur. La garantie d'une citation régulière a pour but d'assurer à chaque partie le droit de ne pas être condamnée sans avoir été mise en mesure de défendre ses intérêts; elle concrétise le droit d'être entendu (ATF 117 Ib 347 consid. 2b/bb ; 142 III 180 consid. 3.2ss). Pour vérifier si la citation a été régulière au sens de l'art. 27 al. 2 let. a LDIP, il faut l'examiner au regard du droit du domicile ou de la résidence habituelle de la partie à laquelle est opposée la décision à reconnaître en Suisse. En outre, la partie défenderesse doit avoir été effectivement atteinte par la citation; au regard de l'art. 27 al. 2 let. a LDIP, il ne suffit donc pas que le destinataire ait eu de quelque manière connaissance de l'acte introductif d'instance. En revanche, le destinataire ne pourra plus s'en prévaloir s'il procède devant le tribunal étranger sur le fond sans faire de réserve (ATF 142 III 180 `consid. 3.4). Si l'art. 27 al. 2 let. a LDIP institue une exception,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(ATF 142 III 180 consid. 3.4).</w:t>
      </w:r>
    </w:p>
    <w:p>
      <w:r>
        <w:rPr>
          <w:b/>
        </w:rPr>
        <w:t>E. 3.3</w:t>
      </w:r>
    </w:p>
    <w:p>
      <w:r>
        <w:t>Tant la Suisse que le Maroc sont signataires de la Convention de La Haye de 1965 relative à la signification et la notification à l'étranger d'actes judiciaires et extrajudiciaires en matière civile ou commerciale (ci-après : CLaH 65). La Suisse s'est opposée à la notification directe d'actes judiciaires provenant de l'étranger par voie postale au sens de l'art. 10 let. a CLaH 65 dans les réserves qu'elle a émises à l'application de la convention (ATF 135 III 623 consid. 2 et 3; arrêt du Tribunal fédéral 5A_544/2007 du 4 février 2008 consid. 3). La notification vers la Suisse d'actes judiciaires provenant d'États signataires de la CLaH 65 s'effectue donc valablement par le truchement des autorités centrales prévues aux art. 2 et ss CLaH 65 à l'exclusion de la voie postale directe.</w:t>
      </w:r>
    </w:p>
    <w:p>
      <w:r>
        <w:rPr>
          <w:b/>
        </w:rPr>
        <w:t>E. 3.4</w:t>
      </w:r>
    </w:p>
    <w:p>
      <w:r>
        <w:t>En l’espèce, il est établi que la citation initiale dans la procédure marocaine n'a jamais été notifiée à la partie défenderesse en Suisse, soit à son lieu de domicile, conformément à la CLaH 65. Selon le jugement dont la reconnaissance est requise, la demande aurait été notifiée au Maroc, à une adresse qui n'est pas celle du domicile de l’épouse. Le recourant n’a apporté aucune pièce qui viendrait contredire l’exactitude de l’inscription au registre cantonal de la population selon laquelle les deux conjoints sont depuis de nombreuses années domiciliés dans le canton de Genève. Il n’a pas non plus apporté une quelconque preuve ni de la notification des convocations ni de celle du jugement. L’épouse a d’ailleurs indiqué au DIN tout ignorer d’une procédure de divorce au Maroc. Il n'est donc pas établi qu’elle aurait eu connaissance de la procédure qui s'est déroulée au Maroc, au cours de laquelle elle a été absente et n'a pas fait valoir ses moyens, ce qui ressort au demeurant du jugement, rendu par défaut. Le seul fait qu'elle aurait pu avoir connaissance de la procédure de manière informelle par son fils et sa belle-fille n'est pas suffisant pour admettre que le jugement marocain, rendu par défaut, puisse être reconnu en Suisse. Au vu de ce qui précède, le refus de transcrire le jugement de divorce marocain et de modifier en conséquence le registre de l’état civil concernant le recourant était parfaitement fondé. Ainsi, même s’il avait convenu de traiter la demande de reconsidération comme un recours contre la décision du 31 décembre 2024, celui‑ci aurait dû être rejeté. Partant, le recours était, dans les deux hypothèses, manifestement mal fondé. Il sera donc rejeté, ce que la chambre de céans peut faire sans échange d’écritures (art. 72 LPA).</w:t>
      </w:r>
    </w:p>
    <w:p>
      <w:r>
        <w:rPr>
          <w:b/>
        </w:rPr>
        <w:t>E. 4</w:t>
      </w:r>
    </w:p>
    <w:p>
      <w:r>
        <w:t>Malgré l’issue du litige, il sera exceptionnellement renoncé à la perception d’un émolument.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