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A/3445/2022 vom 5. Dezember 2023</w:t>
      </w:r>
    </w:p>
    <w:p>
      <w:r>
        <w:t>GE Cour de justice, 2023-12-05, FR</w:t>
      </w:r>
    </w:p>
    <w:p>
      <w:r>
        <w:rPr>
          <w:b/>
        </w:rPr>
        <w:t xml:space="preserve">Quelle: </w:t>
      </w:r>
      <w:r>
        <w:t>https://mcp.opencaselaw.ch/entscheid/ge_gerichte_A_3445_2022</w:t>
      </w:r>
    </w:p>
    <w:p>
      <w:r>
        <w:t>FR: GE_GERICHTE A/3445/2022 du 5 décembre 2023</w:t>
      </w:r>
    </w:p>
    <w:p>
      <w:r>
        <w:t>IT: GE_GERICHTE A/3445/2022 del 5 dicembre 2023</w:t>
      </w:r>
    </w:p>
    <w:p>
      <w:pPr>
        <w:pStyle w:val="Heading2"/>
      </w:pPr>
      <w:r>
        <w:t>Erwägungen</w:t>
      </w:r>
    </w:p>
    <w:p>
      <w:r>
        <w:rPr>
          <w:b/>
        </w:rPr>
        <w:t>E. 2</w:t>
      </w:r>
    </w:p>
    <w:p>
      <w:r>
        <w:t>Le recourant se prévaut que de son droit à la vie privée garanti par les art. 8 CEDH et 14 Cst.![endif]&gt;![if&gt;</w:t>
      </w:r>
    </w:p>
    <w:p>
      <w:r>
        <w:rPr>
          <w:b/>
        </w:rPr>
        <w:t>E. 2.1</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depuis plus de dix ans en Suisse, il y a lieu de partir de l'idée que les liens sociaux qu'il y a développés sont suffisamment étroits pour qu'il bénéficie d'un droit au respect de sa vie privée. La reconnaissance finale d’un droit à séjourner en Suisse issu du droit au respect de la vie privée garanti par l'art. 8 § 1 CEDH peut s’imposer même sans séjour légal de dix ans à condition toutefois que le requérant atteste d’une intégration particulièrement réussie (ATF 144 I 266 consid. 3.8 et 3.9 ; arrêt du Tribunal fédéral 2C_734/2022 du 3 mai 2023 consid. 5.3![endif]&gt;![if&gt;</w:t>
      </w:r>
    </w:p>
    <w:p>
      <w:r>
        <w:rPr>
          <w:b/>
        </w:rPr>
        <w:t>E. 2.2</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3).![endif]&gt;![if&gt;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 2 CEDH suppose une pesée des intérêts en présence et l’examen de la proportionnalité de la mesure (ATF 139 I 145 consid. 2.2 ; 135 II 377 consid. 4.3). Cet examen se confond avec celui imposé par l’art. 96 LEI (arrêt du Tribunal fédéral 2C_419/2014 du 13 janvier 2015 consid. 4.3 ; ATA/1539/2017 du 28 novembre 2017 consid. 6b).</w:t>
      </w:r>
    </w:p>
    <w:p>
      <w:r>
        <w:rPr>
          <w:b/>
        </w:rPr>
        <w:t>E. 2.3</w:t>
      </w:r>
    </w:p>
    <w:p>
      <w:r>
        <w:t>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(ACEDH Adnane c. Pays-Bas, du 6 novembre 2011, req. n° 50568/99 ; Mensah c. Pays-Bas, du 9 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68).![endif]&gt;![if&gt; Une autre considération importante consiste à savoir si la vie familiale a été créée à un moment où les personnes impliquées étaient conscientes que le statut de l'une d’elles à l’égard des services de l'immigration était tel que la pérennité de la vie familiale dans l'État hôte serait dès le départ précaire : lorsque tel est le cas, le renvoi du membre étranger de la famille ne sera qu'exceptionnellement incompatible avec l'art. 8 CEDH (M.A. c. Danemark du 9 juillet 2021, req. n° 6697/18, § 134 ; Antwi et autres c. Norvège du 14 février 2012, req. n° 26940/10, § 89 ; Nunez précité, § 70). La CEDH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l’art. 8 § 1 CEDH, doivent se révéler nécessaires dans une société démocratique, c’est-à-dire être justifiées par un besoin social impérieux et, notamment, proportionnées au but légitime poursuivi (Mehemi c. France, 26 septembre 1997, § 34, Recueil 1997-VI, Dalia c. France, 19 février 1998, § 52, Recueil 1998-I, Boultif c. Suisse, no 54273/00, § 46, CEDH 2001‑IX, et Slivenko c. Lettonie [GC], no 48321/99, § 113, CEDH 2003-X). Dans l’affaire Üner c. Pays-Bas [GC], no 46410/99, §§ 54-60, CEDH 2006‑XII, la Cour a eu l’occasion de résumer les critères devant guider les instances nationales dans de telles affaires (§§ 57 et suiv.) :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les enfants du requérant sont susceptibles de rencontrer dans le pays vers lequel l’intéressé doit être expulsé et la solidité des liens sociaux, culturels et familiaux avec le pays hôte et avec le pays de destination. Ces critères ont été réaffirmés par la suite, notamment dans l’affaire Udeh c. Suisse (Requête no 12020/09, arrêt du 16 avril 2013).</w:t>
      </w:r>
    </w:p>
    <w:p>
      <w:r>
        <w:rPr>
          <w:b/>
        </w:rPr>
        <w:t>E. 2.4</w:t>
      </w:r>
    </w:p>
    <w:p>
      <w:r>
        <w:t>L'art. 3 par. 1 CDE impose d'accorder une importance primordiale à l'intérêt supérieur de l'enfant. L'art. 23 al. 1 CDE précise que les enfants mentalement ou physiquement handicapés doivent mener une vie pleine et décente, dans des conditions qui garantissent leur dignité, favorisent leur autonomie et facilitent leur participation active à la vie de la collectivité.![endif]&gt;![if&gt; Les dispositions de la CDE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w:t>
      </w:r>
    </w:p>
    <w:p>
      <w:r>
        <w:rPr>
          <w:b/>
        </w:rPr>
        <w:t>E. 2.5</w:t>
      </w:r>
    </w:p>
    <w:p>
      <w:r>
        <w:t>L'art. 14 Cst. garantit le droit au mariage et à la famille (ATF 129 II 215 consid. 4.2). Comme tout droit constitutionnel, toute restriction à celui-ci doit se fonder sur une loi, être justifié par un intérêt public ou privé prépondérant et respecter le principe de la proportionnalité (art. 36 Cst.).![endif]&gt;![if&gt;</w:t>
      </w:r>
    </w:p>
    <w:p>
      <w:r>
        <w:rPr>
          <w:b/>
        </w:rPr>
        <w:t>E. 2.6</w:t>
      </w:r>
    </w:p>
    <w:p>
      <w:r>
        <w:t>En l’espèce, le recourant peut se prévaloir de l’application de l’art. 8 CEDH, dès lors qu’il forme avec sa fiancée, avec qui il a eu un enfant, une union stable depuis sa sortie de détention en 2019.![endif]&gt;![if&gt; Se pose toutefois la question de savoir si le refus de lui octroyer une autorisation de séjour en vue de mariage se heurte à la protection de la vie familiale et privée garantie par l’art. 8 CEDH. Le recourant a été condamné les 7 juin 2001, 4 février 2005, et 28 novembre 2012, à des peines privatives de liberté de respectivement 30 mois, quatre ans et neuf mois et sept ans et six mois, les trois fois notamment pour infractions et crimes en matière de stupéfiants. La durée des peines privatives de liberté auxquelles il a été condamné est importante et les atteintes portées à l’ordre et à la sécurité publics sont graves. L’intérêt public à son éloignement de Suisse est donc très important. Ainsi, seules des circonstances exceptionnelles sont susceptibles de faire prévaloir son intérêt privé à demeurer en Suisse sur l’intérêt public à son éloignement. Le recourant vit en concubinage stable avec une ressortissante suisse et est le père d’un enfant âgé de 8 ans. Ce dernier est atteint dans sa santé, souffrant d’un trouble autistique. La psychologue de l’enfant a déclaré que l’enfant commençait à sortir de la relation fusionnelle qu’il entretenait avec sa mère. Elle avait constaté que lorsque le père de l’enfant n'était pas à Genève, D______ était inquiet et plus agité. Elle estimait que le renvoi du recourant aurait une incidence importante sur D______ et le chamboulerait. Ainsi, l’état de santé rend l’enfant plus fragile face à la séparation d’avec l’un de ses parents, étant cependant relevé que le lien avec la mère et non avec le père est qualifié de fusionnel. Selon les déclarations de la compagne du recourant, l’enfant est pris en charge par l'école de 08h05 à 16h00. Il passe donc désormais une grande partie de la journée sans ses parents, singulièrement sans son père. Il y a encore lieu de relever qu’en cas de retour du recourant dans son pays d’origine, il ne peut être exigé de sa compagne et de son fils qu’ils l’y rejoignent, celle-ci, originaire d’Éthiopie, n’ayant aucun lien avec la Tanzanie. Le contact entre le père et le fils devra alors se poursuivre par le biais des moyens de télécommunication modernes ou lors de séjours touristiques du père en Suisse. Au titre des éléments à prendre en considération, il convient également de tenir compte du fait que les concubins n'ignoraient pas que le recourant risquait un refus de se voir accorder une autorisation de séjour lorsqu'ils ont décidé de concevoir leur enfant. Le recourant a d’ailleurs été détenu pendant les quatre premières années de la vie de son fils. Les concubins devaient ainsi s'attendre à ce que leurs relations, en particulier avec l’enfant, soient interrompues ou se poursuivent hors de Suisse. Par ailleurs, le recourant est arrivé en Suisse en 1998 et n’a, à teneur du dossier, jamais disposé d’un titre de séjour, hormis le permis N, valable durant la première procédure d’asile, qui s’est terminée le 21 mai 1999. Malgré les refus opposés à ses demandes d’asile, il est demeuré ou revenu en Suisse, dépourvu de toute autorisation de séjour. En outre, malgré une très longue durée de séjour en Suisse, il ne s’est pas intégré professionnellement. Il n’expose pas non plus avoir en vain tenté une telle intégration. Bien qu’habitant à Genève depuis 2019, il n’a commencé à suivre des cours de français qu’en avril 2023, soit durant la présente procédure, alors pendante devant le TAPI. Le recourant n’allègue pas non plus ni ne rend vraisemblable qu’il se serait créé des attaches amicales ou affectives particulières avec la Suisse, hormis avec sa compagne et ses enfants. Le TAPEM a refusé la libération conditionnelle, estimant le risque de récidive trop élevé. En l’état, ce risque doit, au vu des comportements passés du recourant, être considéré comme encore présent, la période écoulée depuis sa sortie de détention n’atteignant pas encore une durée suffisamment significative pour retenir qu’il ne représente plus une menace pour l'ordre et la sécurité publics. Un risque de récidive n'est par conséquent pas exclu. Même s'il devait être considéré comme minime, cela ne suffirait pas, au vu de l'ensemble des circonstances, à effacer la gravité des infractions sciemment commises par le recourant. Au vu de l’ensemble des circonstances, le refus de l’OCPM d'octroyer une autorisation en vue de mariage au recourant ne viole pas les art. 8 et 12 CEDH et 14 Cst. ni n’apparaît disproportionné. En effet, les intérêts privés du recourant, notamment à continuer à entretenir, en Suisse, une relation quotidienne avec sa compagne et son fils, ne permettent pas de contrebalancer l’intérêt public à son éloignement de la Suisse. Le recours, mal fondé, sera ainsi rejeté.</w:t>
      </w:r>
    </w:p>
    <w:p>
      <w:r>
        <w:rPr>
          <w:b/>
        </w:rPr>
        <w:t>E. 3</w:t>
      </w:r>
    </w:p>
    <w:p>
      <w:r>
        <w:t>Il convient encore d’examiner si le renvoi prononcé par l’OCPM est fondé.![endif]&gt;![if&gt;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dossier.![endif]&gt;![if&gt; Mal fondé, le recours sera rejeté.</w:t>
      </w:r>
    </w:p>
    <w:p>
      <w:r>
        <w:rPr>
          <w:b/>
        </w:rPr>
        <w:t>E. 4</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