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A/3443/2010 vom 31. Mai 2011</w:t>
      </w:r>
    </w:p>
    <w:p>
      <w:r>
        <w:t>GE Cour de justice, 2011-05-31, FR</w:t>
      </w:r>
    </w:p>
    <w:p>
      <w:r>
        <w:rPr>
          <w:b/>
        </w:rPr>
        <w:t xml:space="preserve">Quelle: </w:t>
      </w:r>
      <w:r>
        <w:t>https://mcp.opencaselaw.ch/entscheid/ge_gerichte_A_3443_2010</w:t>
      </w:r>
    </w:p>
    <w:p>
      <w:r>
        <w:t>FR: GE_GERICHTE A/3443/2010 du 31 mai 2011</w:t>
      </w:r>
    </w:p>
    <w:p>
      <w:r>
        <w:t>IT: GE_GERICHTE A/3443/2010 del 31 maggio 2011</w:t>
      </w:r>
    </w:p>
    <w:p>
      <w:pPr>
        <w:pStyle w:val="Heading2"/>
      </w:pPr>
      <w:r>
        <w:t>Erwägungen</w:t>
      </w:r>
    </w:p>
    <w:p>
      <w:r>
        <w:rPr>
          <w:b/>
        </w:rPr>
        <w:t>E. 1</w:t>
      </w:r>
    </w:p>
    <w:p>
      <w:r>
        <w:t>Le médecin suit l'assuré depuis le 29 décembre 1994, uniquement sur le plan digestif.</w:t>
      </w:r>
    </w:p>
    <w:p>
      <w:r>
        <w:rPr>
          <w:b/>
        </w:rPr>
        <w:t>E. 2</w:t>
      </w:r>
    </w:p>
    <w:p>
      <w:r>
        <w:t>Diagnostic : maladie de Bechterew, à noter que le diagnostic posé en 1994 de rectocolite ulcéro-hémorragique vient d'être remis en question par la mise en évidence d'une inflammation de l'ileon terminal évoquant plutôt une maladie de Crohn, l'évolution de la maladie et son éventuelle implication sur la capacité de travail future ne peuvent être précisées actuellement. 3./4./5. Le médecin ne peut pas répondre à ces questions.</w:t>
      </w:r>
    </w:p>
    <w:p>
      <w:r>
        <w:rPr>
          <w:b/>
        </w:rPr>
        <w:t>E. 6</w:t>
      </w:r>
    </w:p>
    <w:p>
      <w:r>
        <w:t>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après avoir pris connaissance de l'activité lucrative exercée par l'assuré depuis avril 2008, l’intimé a considéré que le recourant était capable de travailler à 70% dans une activité adaptée depuis plusieurs années. Pour conclure de la sorte, l’intimé s’est basé sur l'expertise du Dr R________, rhumatologue, lequel présente pleine valeur probante au sens de la jurisprudence, quoi qu’en dise le recourant. En effet, ce rapport a été établi sur la base d'un examen clinique, du dossier médical de l'assuré et des radios effectuées et il tient compte des plaintes du patient. Pour le surplus, la Cour de céans ne met en exergue aucune circonstance particulière permettant de douter de l’indépendance de l’examinateur, de sorte que son rapport doit se voir reconnaitre pleine valeur probante au sens de la jurisprudence ce d’autant plus que le recourant n’apporte aucun élément médical susceptible de le remettre en cause et que, par ailleurs, les conclusions de l’examinateur ont largement été confirmées par l'exercice d'une activité professionnelle de l'assuré en qualité de conducteur de petits trains pour touristes. A cet égard, l'allégation du recourant selon laquelle il serait contraint de cesser toute activité dès l'automne, en raison de l'augmentation des douleurs ne repose sur aucun avis médical. Il s'avère simplement que cette activité est limitée du mois d'avril au mois d'octobre. L'expert a aussi écarté tout diagnostic psychiatrique et/ou trouble cognitif. S'agissant des médecins qui se sont prononcés sur l’état du recourant, il convient de constater que leurs rapports et déclarations ne sont pas susceptibles de remettre en cause les conclusions du Dr R________, au contraire. Ils excluent tous l'existence d'un quelconque trouble cognitif ayant une influence sur la capacité de travail de l'assuré. Tant le Dr S________, spécialiste en maladies rhumatismales que le Dr T________, médecin traitant de l'assuré retiennent que celui-ci a une capacité de travail de 70%, dans une activité respectant les limitations fonctionnelles. Le Dr P________, gastro-entérologue, ne se prononce pas sur la capacité de travail, mais estime que la RCUH diagnostiquée est peut-être plutôt une maladie de Crohn, précisant que l'évolution de la maladie et son éventuelle implication sur la capacité future de travail ne peuvent pas être précisées actuellement. En cela, il réserve seulement une éventuelle aggravation sans influence sur la présente cause. Seule la Dr U_______, rhumatologue, affirme que la reprise d'une activité professionnelle ne semble pas envisageable, sans justifier sa position, en particulier sans expliquer pourquoi l'assuré aurait alors été capable de travailler, entre 30 et 40 heures par semaine, d'avril à fin août en 2008 et 2009. Au demeurant, le traitement proposé par le nouveau médecin traitant de l'assuré rejoint celui suggéré par l'expert, lequel peut soulager l'assuré sur les deux plans. Ainsi, le Dr R________ a bien motivé sa position, il a tenu compte des poussées inflammatoires bisannuelles dans l'appréciation du cas. Dans ces conditions, il convient de se ranger à l'avis de l'expert en question, sans qu'il soit nécessaire de mettre sur pied une nouvelle expertise, au vu de la divergence consacrée par la jurisprudence entre mandat thérapeutique et mandat d'expertise. Il suit de ce qui précède que la Cour retiendra, conformément aux conclusions du rapport d'expertise, que le recourant dispose depuis plusieurs années d'une capacité de travail à 70% dans une activité adaptée. S'agissant du calcul du taux d'invalidité effectué par l'OAI, il ne prête pas flanc à la critique, dès lors que le revenu ressortant des ESS a été retenu à raison de 70%, avec l'abattement supplémentaire maximum de 25%, en raison des limitations fonctionnelles, de l'âge de l'assuré et des nombreuses années durant lesquelles il a perçu une rente entière d'invalidité. Le revenu sans invalidité est également correctement fixé sur la base du revenu de monteur-électricien selon l'ESS-TA7, de sorte qu'il en résulte un taux d'invalidité de 50,8%, ouvrant le droit à une demi-rente d'invalidité. A cet égard, il ne faut pas perdre de vue que l'assuré a travaillé, en 2008 et 2009, du mois d'avril au mois d'août, respectivement au mois de juillet, à raison de 30 à 40 heures par semaine, selon les fiches de salaire produites, réalisant un salaire mensuel brut allant de 3'400 fr. à 4'700 fr. selon les mois. En 2009, l'assuré était déjà âgé de 60 ans, de sorte que son âge n'a pas, en tant que tel, été un obstacle pour l'obtention de ce type d'emploi. Du point de vue médical, outre les périodes de poussées inflammatoires limitées dans le temps, rien n'indique que l'assuré ne pourrait pas, en sus de cet emploi de conducteur de petits trains, obtenir un autre emploi, durant quelques mois également, le cas échéant pour un revenu moindre, de sorte que sur une période de travail de 9 mois par année, il est en mesure de réaliser le salaire retenu au titre de revenu avec invalidité. Reporté à six mois de travail, le revenu réalisé de mai à août 2008 (16'776 fr.) représente un salaire de 25'164 fr. Un autre emploi, rémunéré par hypothèse à 2'500 fr. seulement par mois, durant trois mois permet un salaire de 7'500 fr., soit annuellement un revenu de 32'664 fr. Ainsi, les diagnostics n'étant ni contestés, ni contestables, lesquels permettent de retenir une capacité de travail de 70%, cela suffit à établir qu'il y a une modification notable de la capacité de travail de l'assuré qui justifie une révision sur la base de l'art 17 LPGA. Au demeurant, la reprise d'une activité lucrative par l'assuré sur une relativement longue période démontre la modification notable et durable de sa capacité de gain, depuis 2002 en tout cas, au vu des revenus réalisés sur quelques mois en 2002 et 2003, ainsi qu'en 2008 et 2009. S'agissant de la prise d'effet de la diminution de la rente, elle rétroagit à la date où elle a cessé de correspondre au droit de l'assuré, conformément à l'art. 88 bis al. 2 let b RAI, lorsque l'assuré a manqué à son obligation de renseigner, selon l'art. 77 RAI. En l'espèce, s'il est exact que l'assuré a interpellé l'OAI en 1998 pour connaître les conditions à remplir pour pouvoir travailler partiellement et qu'il est demeuré sans réponse de cette administration, il n'en demeure pas moins qu'il devait informer l'OAI des revenus réalisés en 2000, 2002 et 2003. Compte tenu de ce qui précède, en fixant la date de la diminution de la rente au 1 er janvier 2008, la décision de l'OAI n'est pas critiquable. En dernier lieu, dans la mesure où la décision de rente initiale n'était pas manifestement erronée, étant rappelé qu'une appréciation différente de celle qui avait été effectuée à l'époque mais qui était, en soi, soutenable, notamment du fait du diagnostic psychiatrique retenu, ne permet pas de procéder à une reconsidération, c'est donc bien sous l'angle de la révision fondé sur l'art. 17 LPGA que la réduction de la rente se justifie. Ainsi, le recours est rejeté. La procédure n'est pas gratuite en matière de contestation des prestations de l'assurance-invalidité, aux termes de l'art. 69 al. 1bis LAI. Partant, le recourant sera condamné à un émolument de justice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