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A/3441/2010 vom 7. Juli 2011</w:t>
      </w:r>
    </w:p>
    <w:p>
      <w:r>
        <w:t>GE Cour de justice, 2011-07-07, FR</w:t>
      </w:r>
    </w:p>
    <w:p>
      <w:r>
        <w:rPr>
          <w:b/>
        </w:rPr>
        <w:t xml:space="preserve">Quelle: </w:t>
      </w:r>
      <w:r>
        <w:t>https://mcp.opencaselaw.ch/entscheid/ge_gerichte_A_3441_2010</w:t>
      </w:r>
    </w:p>
    <w:p>
      <w:r>
        <w:t>FR: GE_GERICHTE A/3441/2010 du 7 juillet 2011</w:t>
      </w:r>
    </w:p>
    <w:p>
      <w:r>
        <w:t>IT: GE_GERICHTE A/3441/2010 del 7 luglio 2011</w:t>
      </w:r>
    </w:p>
    <w:p>
      <w:pPr>
        <w:pStyle w:val="Heading2"/>
      </w:pPr>
      <w:r>
        <w:t>Regeste</w:t>
      </w:r>
    </w:p>
    <w:p>
      <w:r>
        <w:t>For de la poursuite. | Le débiteur poursuivi a des liens les plus étroits avec Genève. Au moment de la notification du commandement de payer, il existait un for à Genève. Plainte admise. | LP.46</w:t>
      </w:r>
    </w:p>
    <w:p>
      <w:pPr>
        <w:pStyle w:val="Heading2"/>
      </w:pPr>
      <w:r>
        <w:t>Erwägungen</w:t>
      </w:r>
    </w:p>
    <w:p>
      <w:r>
        <w:rPr>
          <w:b/>
        </w:rPr>
        <w:t>E. 1.1</w:t>
      </w:r>
    </w:p>
    <w:p>
      <w:r>
        <w:t>L'Autorité de surveillance est compétente pour statuer sur les plaintes formées en application de la LP comme en l’espèce des refus de l’Office de donner suite à des réquisitions de poursuite pour défaut de for (art. 13 LP ; art. 125 et 126 LOJ ; art. 6 al. 1 et 3 et 7 al. 1 LaLP) contre des mesures non attaquables par la voie judiciaire (art. 17 al. 1 LP). En tant que poursuivantes, les plaignantes ont qualité pour contester de tels refus. Elles ont agi en temps utile (art. 17 al. 2 LP), en respectant les exigences de forme et de contenu prescrites par la loi (art. 9 al. 1 et 2 LaLP).</w:t>
      </w:r>
    </w:p>
    <w:p>
      <w:r>
        <w:rPr>
          <w:b/>
        </w:rPr>
        <w:t>E. 2</w:t>
      </w:r>
    </w:p>
    <w:p>
      <w:r>
        <w:t>2.1 L’engagement et le déroulement d’une procédure d’exécution forcée supposent l’existence d’un for de la poursuite, lequel désigne l’organe de poursuite territorialement compétent à qui le créancier doit s’adresser pour introduire la poursuite. La LP définit le for de la poursuite principal, appelé for ordinaire (art. 46 LP), ainsi qu'un nombre très limité de fors spéciaux (art. 48 à 52 LP), et elle détermine le moment à partir duquel un changement survenant dans les données factuelles créatives d’un for de la poursuite reste inopérant (art. 53 LP).</w:t>
      </w:r>
    </w:p>
    <w:p>
      <w:r>
        <w:rPr>
          <w:b/>
        </w:rPr>
        <w:t>E. 2.2</w:t>
      </w:r>
    </w:p>
    <w:p>
      <w:r>
        <w:t>Ces fors ont un caractère exclusif et impératif. Un for de la poursuite ne saurait être créé par élection de for ou acceptation, explicite ou tacite, d’une poursuite, sous réserve du for spécial du débiteur domicilié à l’étranger élisant un domicile d’exécution en Suisse (art. 50 al. 2 LP ; Walter A. Stoffel , Voies d’exécution, § 3 n° 91 ; Pierre-Robert Gilliéron , Commentaire, Remarques introductives ad art. 46-55 n° 30 ; Lettre de la Chambre des poursuites et faillites du Tribunal fédéral du 13 février 1984 concernant l’élection de domicile par le poursuivi et la forme de cette élection, in SJ 1984 p. 246).</w:t>
      </w:r>
    </w:p>
    <w:p>
      <w:r>
        <w:rPr>
          <w:b/>
        </w:rPr>
        <w:t>E. 2.3</w:t>
      </w:r>
    </w:p>
    <w:p>
      <w:r>
        <w:t>Le for ordinaire de la poursuite est au domicile du débiteur (art. 46 al. 1 LP). 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 l’intention de la personne concernée doit cependant n’être pas seulement intime, mais se manifester de façon objective et reconnaissable pour les tiers (ATF 7B.241/2003 du 8 janvier 2004 consid. 4 ; ATF 125 III 100 consid. 3, JdT 1999 II 177 ; ATF 120 III 7 consid. 2a, JdT 1996 II 73 ; ATF 119 II 64 consid. 2b, JdT 1996 I 221). Le dépôt de papiers d’identité, des attestations de la police des étrangers, des autorités fiscales ou des assurances sociales, ou des indications ressortant de permis de circulation, de permis de conduire ou de publications officielles constituent des indices sérieux de l’existence du domicile au lieu que ces documents indiquent et fondent même à cet égard une présomption de fait, que des preuves contraires peuvent toutefois renverser (ATF 125 III 100 consid. 3 et les références citées).</w:t>
      </w:r>
    </w:p>
    <w:p>
      <w:r>
        <w:rPr>
          <w:b/>
        </w:rPr>
        <w:t>E. 2.4</w:t>
      </w:r>
    </w:p>
    <w:p>
      <w:r>
        <w:t>C’est au poursuivant qu’incombe le devoir d’indiquer à l’Office notamment le domicile du débiteur, tant au stade de la réquisition de poursuite (art. 67 al. 1 ch. 2 LP ; Pierre-Robert Gilliéron , Commentaire, ad art. 67 n° 17 et 40 ; Sabine Kofmel Ehrenzeller , in SchKG I, ad art. 67 n° 31) qu’à celui de la réquisition de continuer la poursuite (art. 88 al. 1 LP). A réception de ces réquisitions, l’Office reporte cette indication respectivement sur le commandement de payer et l’avis de saisie (art. 69 al. 1 ch. 1 LP). Il n’a pas à la vérifier, mais s’il la sait erronée ou fictive ou s’il est manifeste qu’elle l’est ou encore si elle est imprécise ou lacunaire, il doit inviter le poursuivant à la rectifier ou la compléter (Pierre-Robert Gilliéron , Commentaire, ad art. 69 n° 27 ss., et ad art. 89 n° 25 ss). A propos d’une mention telle que l’adresse du poursuivi, l’Office peut même la corriger ou la compléter de lui-même s’il est certain tant de l’erreur ou de la lacune ou de l’imprécision que de la correction ou du complément à apporter et qu’aucun doute ou aucune ambiguïté n’en résulte sur la personne du poursuivi (Karl Wüthrich / Peter Schoch , in SchKG I, ad art. 69 n° 17).</w:t>
      </w:r>
    </w:p>
    <w:p>
      <w:r>
        <w:rPr>
          <w:b/>
        </w:rPr>
        <w:t>E. 3</w:t>
      </w:r>
    </w:p>
    <w:p>
      <w:r>
        <w:t>Invite l’Office des poursuites à donner suite à la réquisition de poursuite n° 10 xxxx67 S déposée par Mme H______ le 29 juin 2010.</w:t>
      </w:r>
    </w:p>
    <w:p>
      <w:r>
        <w:rPr>
          <w:b/>
        </w:rPr>
        <w:t>E. 4</w:t>
      </w:r>
    </w:p>
    <w:p>
      <w:r>
        <w:t>Déboute les parties de toutes autres ou contraires conclusions. Siégeant : Daniel DEVAUD, président ; Philipp GANZONI et Philippe VEILLARD, juges assesseurs ; Paulette DORMAN, greffière. Daniel DEVAUD Paulette DORMAN Président Greffière Voies de recours Le Tribunal fédéral connaît, comme juridiction ordinaire de recours, des recours en matière civile ; la qualité et les autres conditions pour interjeter recours sont déterminées par les art. 72 à 77 et 90 et ss. de la loi sur le Tribunal fédéral du 17 juin 2005 (LTF ; RS 173.110). Il connaît également des recours constitutionnels subsidiaires ; la qualité et les autres conditions pour interjeter recours sont déterminées par les art. 113 à 119 et 90 et ss. LTF. Dans les deux cas, le recours motivé doit être formé dans les dix jours, ou dans les cinq jours en matière d’effets de change (art. 100 al. 3 let. a LTF), qui suivent la notification de l’expédition complète de la décision attaquée (art. 100 al. 2 let. a LTF).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