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A/3441/2007 vom 21. Februar 2008</w:t>
      </w:r>
    </w:p>
    <w:p>
      <w:r>
        <w:t>GE Cour de justice, 2008-02-21, FR</w:t>
      </w:r>
    </w:p>
    <w:p>
      <w:r>
        <w:rPr>
          <w:b/>
        </w:rPr>
        <w:t xml:space="preserve">Quelle: </w:t>
      </w:r>
      <w:r>
        <w:t>https://mcp.opencaselaw.ch/entscheid/ge_gerichte_A_3441_2007</w:t>
      </w:r>
    </w:p>
    <w:p>
      <w:r>
        <w:t>FR: GE_GERICHTE A/3441/2007 du 21 février 2008</w:t>
      </w:r>
    </w:p>
    <w:p>
      <w:r>
        <w:t>IT: GE_GERICHTE A/3441/2007 del 21 febbraio 2008</w:t>
      </w:r>
    </w:p>
    <w:p>
      <w:pPr>
        <w:pStyle w:val="Heading2"/>
      </w:pPr>
      <w:r>
        <w:t>Erwägungen</w:t>
      </w:r>
    </w:p>
    <w:p>
      <w:r>
        <w:rPr>
          <w:b/>
        </w:rPr>
        <w:t>E. 33</w:t>
      </w:r>
    </w:p>
    <w:p>
      <w:r>
        <w:t>Le 25 mai 2006, le Dr Q________ a rendu un rapport médical. Il diagnostique une prothèse totale de hanche gauche (7 janvier 2005) pour coxarthrose invalidante; status après ostéotomie de varisation du fémur gauche (1991) sur dysplasie congénitale de hanche gauche. Des douleurs en barre au niveau des deux fessiers étaient réapparues entraînant une marche lente avec une paire de cannes. L'assurée avait dû cesser son traitement médicamenteux en raison d'épigastralgies. Il lui était conseillé de travailler la marche en piscine, de faire de la mésothérapie, de l'acupuncture et un régime avec son médecin-traitant. Le 27 mai 2005, le Dr  Q________ a rempli un rapport médical AI dans lequel il diagnostique des cruralgies à prédominance gauche chroniques; status post-ostéotomie de varisation du fémur gauche (1991) sur dysplasie congénitale de hanche gauche; status après prothèse totale de hanche gauche (7 janvier 2005) pour coxarthrose invalidante. Il suivait l'assurée depuis le 10 février 2003 en intermittence. Elle était en incapacité totale de travailler dès le 24 janvier 2005. Depuis 2001, il y avait eu une nette augmentation et changement des douleurs, coïncidant avec une infection à cyto-mégalo-virus. Il y avait une diminution de l'effet de la mésothérapie et de la médication. L'assurée nécessitait l'aide de son mari dans les tâches ménagères. Il y avait une diminution de rendement. On pouvait exiger de l'assurée une diminution pondérale, le poids jouant un rôle dans les myalgies, mais aucune autre activité n'était pas exigible.</w:t>
      </w:r>
    </w:p>
    <w:p>
      <w:r>
        <w:rPr>
          <w:b/>
        </w:rPr>
        <w:t>E. 36</w:t>
      </w:r>
    </w:p>
    <w:p>
      <w:r>
        <w:t>Le 14 juin 2005, le Dr Jean-Claude O________, FMH chirurgie orthopédique, a rempli un rapport médical AI dans lequel il diagnostique une coxarthrose gauche invalidante; status après ostéotomie de varisation en 1991, ablation de matériel faite; status après arthroplastie par prothèse totale de la hanche gauche le 7 janvier 2005; lombalgies basses chroniques; syndrome myofascial hanche gauche (fessiers tenseurs); dysfonction sacro-iliaque des deux côtés; status après ulcère sur AINS; migraines ophtalmiques. L'état de l'assurée s'améliorait très lentement. Il suivait l'assurée depuis septembre 2004 et relève que l'évolution après l'intervention de janvier 2005 est lentement favorable, mais de loin pas terminée, qu'elle sera encore bien longue et qu'il faudra sûrement attendre le printemps 2006 avant de pouvoir se prononcer de façon plus définitive et que d'ici là, une reprise de travail ne lui paraît pas réaliste. Le 26 juillet 2005, le Dr Q________ a rendu un rapport médical suite à une consultation du 26 juillet 2005. Il relève que la patiente va mieux et qu'elle souffre de douleurs minimes au niveau du membre inférieur gauche, de douleurs en barre au niveau du dos, essentiellement en passant de la position assise à la position debout et de douleurs au pli inguinal droit en position assise prolongée. A domicile, elle marche sans canne. L'arrêt de travail théorique était de 100 %. Le 30 août 2005, le Dr R________ du SMR a estimé, que sur le plan somatique, la situation était stable et proposé un examen bidisciplinaire au SMR. Le 20 février 2007, les Drs  S________, FMH médecine interne et rhumatologie, et S. VECERINA, FMH du SMR psychiatrie, ont rendu un rapport médical. Ils relève que l'assurée se plaint de douleurs diffuses aux quatre membres, d'inguinalgies, de douleurs continues de la jambe gauche et de la région lombaire, de pygioinguinalgies gauches et de lombalgies au repos, augmentant à la marche et en position assise. Elle s'allonge en cas de douleurs trop importantes. Elle signale aussi un dérouillage matinal rachidien et articulaire généralisé d'une demi-heure à une heure, des gonalgies au repos et à la marche, des cervico-scapulo-brachialgies bilatérales avec vertiges et vomissements, de la fatigue et une intolérance aux bruits. Elle mentionne des douleurs de la hanche irradiant dans le corps entier qui est douloureux, même juste à la pression digitale sur la peau. L'assurée exerce des activités bénévoles dans le domaine de l'adoption et suit des cours de peinture et de confection d'albums de photos. Elle prépare le repas et assume parfois les travaux de lessive. Le diagnostic de dysplasie de la hanche gauche avait été posé à l'âge de deux ans. Elle avait passé six mois à Zurich, plâtrée. Elle n'avait pas pu faire de sport durant l'enfance. Elle avait eu des épisodes dépressifs dans le contexte de licenciements et suite aux complications de son opération en 1991. Ils posent les diagnostics suivants : Avec répercussion sur la capacité de travail : "lombo-pygino-inguino-cruralgies bilatérales dans le cadre de troubles statiques du rachis, d'une discrète dysplasie de la hanche D et d'un status satisfaisant après pose d'une prothèse de la hanche G pour coxarthrose sur dysplasie de hanche M 54.4, Q 65.8, M 16.5; syndrome rotulien D. M 22.2". Sans répercussion sur la capacité de travail : "discrète arthrose nodulaire des doigt. M 19.0; fibromyalgie M 79.0; obésité; status après éléments dépressifs d'allure réactionnelle, actuellement rémission (F 43.21)". Il constatent que l'appréciation psychiatrique met en évidence une femme de bonne constitution psychique, qui ne souffre d'aucune atteinte psychiatrique à la santé qui pourrait porter préjudice à sa capacité de travail. Dans la situation actuelle, il n'y a aucun signe de dépression ni de séquelles d'un épisode dépressif d'intensité sévère. Face aux antécédents de l'assurée, la composante dépressive réactionnelle relatée par celle-ci est tout à fait crédible et vraisemblable. Toutefois, le premier épisode ayant déjà été consécutif à une perte d'emploi et ayant totalement guéri lorsque l'assurée a repris une activité professionnelle, il ne peut en aucun cas être considéré comme une atteinte invalidante à la santé. Les épisodes dépressifs suivants sont corrélés à la symptomatologie douloureuse de l'assurée. Leur caractéristique réactionnelle et l'absence de séquelles permettent de considérer qu'elles font partie du tableau douloureux chronique. Face à la problématique douloureuse chronique de l'assurée, il n'y a donc pas de comorbidité psychiatrique à caractère invalidant. Les affections corporelles chroniques sont décrites dans le versant somatique de l'examen. Le processus maladif s'étend depuis de nombreuses années, vraisemblablement depuis 1991. Il n'y a pas de perte d'intégration sociale. Bien au contraire, l'assurée mène une vie sociale riche et est active au domicile, notamment par sa vie associative. L'assurée accomplit pleinement son rôle de mère. Le bénéfice primaire tiré de sa maladie pourrait être éventuellement mis en corrélation avec la dynamique conjugale, l'assurée n'avant plus travaillé à plein temps depuis qu'elle a rencontré son mari. Il n'y a pas d'échec de traitement conforme aux règles de l'art puisque l'assurée n'a pas de suivi psychiatrique et ne prend actuellement aucun médicament psychotrope. Ils citent les limitations fonctionnelles suivantes : "Membres inférieurs : pas de position debout prolongée de plus d'une heure, pas de marche supérieure à une heure, pas de génuflexions répétées, pas de franchissement régulier d'escabeaux, échelles ou escaliers, pas de marche en terrain irrégulier. Rachis : nécessité de pouvoir alterner deux fois par heure la position assise et la position debout, pas de soulèvement régulier de charges d'un poids excédant cinq kilos, pas de port régulier de charges d'un poids excédant douze kilos, pas de travail en porte-à-faux statique prolongé du tronc". Il y a une incapacité de travail de 50 % depuis juin 1991, puis de 100 % depuis 1995. Par contre, depuis mi-juillet 2005, soit six mois après la pose de la prothèse de hanche totale, la capacité de travail est de 80 % en raison d'une baisse du rendement au maximum de 20 % liée aux contraintes des limitations fonctionnelles tant dans l'activité de secrétaire que dans toute autre activité adaptée. Effectivement, la pose de cette prothèse de hanche a bien réussi et il n'y a actuellement aucun signe de descellement, ni de complication primaire ou secondaire. D'ailleurs, l'assurée a une mobilité de la hanche gauche satisfaisante. Par ailleurs, les diverses pathologies ostéoarticulaires n'entraînent que des limitations fonctionnelles qui sont tout à fait respectées par la profession habituelle de secrétaire. Le 14 mars 2007, le Dr R________ a estimé une capacité de travail de 80 % depuis juillet 2005. Par projet de décision du 30 avril 2007, l'OCAI a décidé de supprimer la rente d'invalidité de la recourante. Le 4 mai 2007, le Dr  T________, FMH médecine interne, a écrit à l'OCAI qu'il avait repris en charge l'assurée depuis le 31 janvier 2006 et requis une copie du dossier médical. Le 23 mai 2007, l'assurée a écrit à l'OCAI que si son état s'était progressivement amélioré depuis l'opération de janvier 2005, il ne lui permettait pas de travailler à 80 %. En revanche, une reprise professionnelle à 40 % pour commencer lui paraissait possible et elle sollicitait l'aide du Service de réadaptation professionnelle. Elle a transmis les avis médicaux suivants : Un avis du Dr T________ du 18 mai 2007 selon lequel si la mise en place de la prothèse est un succès du point de vue mécanique, elle laisse subsister un important état douloureux. Le Dr Q________ avait d'ailleurs maintenu l'incapacité de travail à 100 % en juillet 2005. L'état douloureux chronique était insuffisamment pris en compte par le SMR en raison de la fatigabilité qu'il entraînait. Une activité de secrétaire six heures par jour cinq jours par semaine ne tenait pas compte de l'état global de la santé de la patiente. Un avis du Dr U_______, FMH médecine interne, maladies allergiques SSAI, acupuncture ASA du 21 mai 2007, selon lequel il traitait la patiente à domicile par acupuncture depuis trois ans et connaissait les grandes difficultés de sa vie quotidienne. Elle ne pouvait mener une vie normale, les simples tâches domestiques étaient réalisées au prix de grands efforts, les douleurs étaient toujours présentes et la hanche droite devrait probablement être opérée à moyen terme. Son incapacité de travail était d'au moins 50 %, une activité professionnelle, de préférence à domicile, étant possible. Un avis du Dr O________ du 22 mai 2007 selon lequel il suivait l'assurée depuis l'automne 2004 et avait continué à la voir régulièrement depuis l'opération de 2005. Le 7 juin 2005, il avait noté que la patiente restait très fatigable, que la station monopodale gauche était difficile et qu'elle avait des douleurs en se relevant d'assise, et en septembre 2005 qu'elle continuait de marcher avec une canne à l'extérieure et avait des douleurs en se relevant d'assise et à la hanche droite. Il n'était pas réaliste de fixer une capacité de travail de 80 % en juin 2005, sans avoir examiné la patiente à cette époque. Il avait revu la patiente en mai 2006. L'évolution de la prothèse gauche était favorable, mais la patiente se plaignait d'autres douleurs du rachis lombaire bas, parfois de la hanche droite. La capacité de travail exigible était de 50 % au plus, avec augmentation possible selon l'évolution, mais probablement jamais complète. Le 25 juin 2007, le Dr V_______ du SMR a estimé qu'il n'y avait pas de fait nouveau depuis l'avis médical du SMR. Par décision du 18 juillet 2007, l'OCAI a supprimé la rente de l'assurée dès le premier jour du deuxième mois suivant la notification de la décision et supprimé l'effet suspensif au recours. Sur demande de l'assurée, une aide au placement pouvait être octroyée. Le 25 juillet 2007, le Dr O________ a écrit à l'OCAI que sa décision était légère et irréfléchie, la patiente n'ayant pas été vue en 2005. Actuellement, la patiente ne pouvait reprendre le travail qu'à 50 % au plus puis, selon l'évolution, augmenter le taux. Le 6 août 2007, le Dr Q________ a relevé que la première consultation de la patiente datait du 10 février 2003 pour cruralgies antéro-latérales gauches invalidantes, puis en 2005 suite à l'intervention à la hanche. Il avait maintenu en juillet 2005 l'arrêt de travail à 100 % en raison d'une limitation de la marche, essentiellement en endurance et proposé une cure balnéaire. Fin 2005 et début 2006, on constatait quelques progrès, sans autonomie suffisante pour une reprise du travail. Les consultations de 2006 étaient centrées sur une autonomisation progressive pour gérer la douleur et augmenter ses fonctions. Ayant suivi la patiente depuis plusieurs années, il n'adhérait pas aux conclusions du SMR, en particulier s'agissant d'une capacité de travail à 80 %. Il poursuit : "En effet, même si l'intervention chirurgicale était nécessaire et a apporté un bienfait à la patiente, on s'aperçoit que la longue période de mise au repos de cette hanche avant la mise en place de la prothèse l'a affaiblie. Ceci est confirmé par l'hospitalisation du début de l'année 2005. Ayant également suivi cette patiente au long cours, je rejoins l'avis de mes collègues concernant une reprise de travail partielle qui serait bénéfique pour Madame B_________. Celle-ci se devra se faire de façon progressive et accompagnée. Afin de spécifier les limitations précises, j'ai demandé une évaluation par nos ergothérapeutes, qui vous parviendra sous peu". Le 27 août 2007, les Drs W_______ et Y_______ du Service de rhumatologie des HUG ont rendu un rapport médical pour évaluer le diagnostic de fibromyalgie. Ils posent les diagnostics suivants : "Limitation fonctionnelle et douloureuse de la hanche gauche. Périarthrite de hanche bilatérale. Syndrome fémoro-patellaire droit. Tendinopathie bilatérale de la coiffe des rotateurs." Ils relèvent que " les plaintes de la patiente sont relativement bien ciblées. Elles concernent avant tout des douleurs mécaniques continues de la hanche gauche, exacerbées par la marche prolongée et les mouvements de flexions extrêmes. A cela s'ajoute une douleur plus diffuse et superficielle de la péri-hanche. Du côté droit, des symptômes très similaires, mais d'intensité moindre sont rapportés. Mme B_______ mentionne en outre une limitation fonctionnelle douloureuse des épaules lors des mouvements répétés au-delà du plan de l'horizontal et une gonalgie mécanique droite. Des lombalgies basses de caractère mécanique sont également rapportées, particulièrement invalidantes lors du maintien statique de la position assise et debout". Il n'y avait pas d'arguments en faveur d'une fibromyalgie mais la patiente présentait une limitation fonctionnelle douloureuse de la hanche gauche relativement invalidante, une péri-arthrite de hanche bilatérale et un syndrome fémoro-patellaire du genou droit. Aux membres supérieurs, ils retiennent des lésions de surcharge bilatérale de la coiffe des rotateurs, à prédominance droite. Le 31 août 2007, le Dr Q________ a transmis à l'avocat de l'assurée le rapport d'ergothérapie du 27 août 2007. Celui-ci relève que l'assurée se plaint de douleurs permanentes au niveau des cervicales et des lombaires, de migraines pouvant engendrer des vomissements, de vertiges, de troubles du sommeil et de fatigue. Le rapport conclut que "Mme B_______ a été compliante et collaborante durant l'évaluation. Elle a exécuté toutes les activités demandées. Mme B_______ semble avoir du mal à gérer ses douleurs qui entravent la position assise mais également la position debout. Il est à noter que cette dernière est moins longtemps supportée. Lors des différentes activités, elle paraît avoir une sensibilité exacerbée et ses yeux se remplissent facilement de larmes. Elle nous apparaît très vulnérable au niveau émotionnel. Il est indéniable qu'elle a un déconditionnement physique et que son endurance est très limitée. D'autre part, après tant d'années d'interruption de travail, une remise à niveau des connaissances est indispensable. Une reprise professionnelle, à temps partiel, ne peut être envisageable qu'à certaines conditions : - Adaptation du poste de travail. - Reconditionnement physique (en tenant compte de ses limitations). - Remise à niveau professionnelle. Il nous semble primordial que ces conditions soient mises en place afin d'optimiser les chances d'une reprise professionnelle" Le 12 septembre 2007, l'assurée, représentée par un avocat, a recouru auprès du Tribunal cantonal des assurances sociales à l'encontre de la décision de l'OCAI du 18 juillet 2007 en concluant au renvoi de la cause à l'intimé pour nouvelle décision. Elle fait valoir que l'appréciation du SMR était manifestement erronée compte tenu des avis des médecins-traitants et du rapport de service d'ergothérapie des HUG, lesquels étaient concordants. Par ailleurs, le diagnostic de fibromyalgie posé par le SMR était erroné. Elle était d'accord de se soumettre à un reclassement professionnel et, sans celui-ci, son invalidité était toujours de 100 %. Elle ne voyait pas d'objection à se soumettre à une expertise médicale. Le reconditionnement physique et la remise à niveau professionnelle devaient être pris en charge par l'AI. Elle requérait préparatoirement l'audition des Drs Q________, Z_______, T________, O________ et Madame C_______, ergothérapeute aux HUG, ainsi qu'en cas de besoin la mise sur pied d'une expertise médicale. Le 11 octobre 2007, l'OCAI a conclu au rejet du recours en relevant que le diagnostic de fibromyalgie a simplement été avancé en raison de douleurs de divers points typiques et qu'il ne s'agit pas au sens strict d'un diagnostic de trouble somatoforme douloureux, que par ailleurs, les médecins-traitants n'amènent pas d'éléments médicaux concrets pouvant mettre en doute l'avis du SMR que la décision attaquée ne concernait que la suppression de la rente, et qu'un reclassement professionnel n'était pas nécessaire dès lors que cette activité était toujours adaptée, mais des mesures comme l'adaptation du poste de travail, un réentraînement au travail, voire une mise à niveau des connaissances, n'avaient pas encore été examinées et que des décisions correspondantes seraient rendues ultérieurement. Le 2 janvier 2008, le Tribunal de céans a informé les parties qu’il entendait confier une expertise à la Dresse A_______, FMH médecine interne rhumatologie, et leur a communiqué la mission d’expertise pour toute observation. Le 17 janvier 2008, l’Office cantonal de l'assurance-invalidité a déclaré approuver le nom de l’expert, ainsi que la mission, en se fondant sur un avis du SMR du 16 janvier 2008. Le 14 janvier 2008, la recourante a considéré que l’expert devait disposer de qualifications dans les domaines de la traumatologie de l’appareil locomoteur, en particulier un titre de médecine physique et réadaptation orthopédique. Le 7 février 2008, le Tribunal de céans a informé les parties qu'il entendait finalement confier l'expertise à la Dresse LL_______, spécialiste FMH en rhumatologie et en médecine physique et réadaptation. Les parties ont accepté cette experte par courriers du 18 février 2008. EN DROIT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la suppression de la rente d'invalidité de la recourante a été prononcée le 12 juillet 2007. La LPGA s’applique donc au cas d’espèce. a) Le 1 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alinéa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 b) En l'espèce, l'OCAI a communiqué à l'assurée un projet de décision en date du 30 avril 2007, qui a été confirmé par la décision du 18 juillet 2007, contre laquelle l'assurée a interjeté directement recours devant le Tribunal de céans le 12 septembre 2007. c) Interjeté dans les forme et délai prévus par la loi, devant l'autorité compétente, le recours est en conséquence recevable (art. 56 ss LPGA). L'objet du litige porte sur le bien-fondé de la suppression du droit à la rente d'invalidité de la recourante.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a) Depuis l'entrée en vigueur, le 1 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Selon la lettre f des dispositions finales de la modification du 21 mars 2003, les rentes entières en cours perçues au titre d'un taux d'invalidité égal ou supérieur à 66 2/3 % continuent d'être versées, après l'entrée en vigueur des nouvelles dispositions légales, à tous les rentiers qui, à ce moment là, ont atteint l'âge de 50 ans. Toutes les autres rentes entières perçues au titre d'une invalidité inférieure à 70 % font l'objet d'une révision dans le délai d'un an dès l'entrée en vigueur des nouvelles dispositions.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Quand l'administration entre en matière sur la demande de révision, elle doit examiner l'affaire au fond, et vérifier que la modification du degré d'invalidité ou de l'impotence rendue plausible par l'assuré est réellement intervenue. Si elle constate que l'invalidité ou l'impotence ne s'est pas modifiée depuis la décision précédente, passée en force, elle rejette la demande. En cas de recours, le même devoir de contrôle quant au fond incombe au juge (voir ATF 117 V 198 consid. 3a et la référence).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En l'espèce, le SMR a conclu que la recourante avait une capacité de travail de 80 % depuis juillet 2005. Or, l'estimation de la capacité de travail de la recourante a été évaluée au maximum à 50 % par les Drs U_______ (avis du 21 mai 2007), O________ (avis du 22 mai 2007) et Q________ (avis des 6 et 30 août 2007). Par ailleurs, le Dr T________ a contesté la capacité de travail de 80 % fixée par le SMR en estimant qu'elle ne tenait pas compte de l'état de santé global de la recourante (avis du 18 mai 2007) et le rapport d'ergothérapie du 27 août 2007 mentionne qu'une reprise professionnelle est possible seulement à temps partiel et à certaines conditions. Au vu de ce qui précède, il convient d'ordonner une expertise médicale en vue de fixer la capacité de travail de la recourante, laquelle sera confiée à la Dresse LL_______, spécialiste FMH en rhumatologie et en médecine physique et réadaptation, rue du 31-Décembre 70, 1207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