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A/3440/2021 vom 15. Dezember 2022</w:t>
      </w:r>
    </w:p>
    <w:p>
      <w:r>
        <w:t>GE Cour de justice, 2022-12-15, FR</w:t>
      </w:r>
    </w:p>
    <w:p>
      <w:r>
        <w:rPr>
          <w:b/>
        </w:rPr>
        <w:t xml:space="preserve">Quelle: </w:t>
      </w:r>
      <w:r>
        <w:t>https://mcp.opencaselaw.ch/entscheid/ge_gerichte_A_3440_2021</w:t>
      </w:r>
    </w:p>
    <w:p>
      <w:r>
        <w:t>FR: GE_GERICHTE A/3440/2021 du 15 décembre 2022</w:t>
      </w:r>
    </w:p>
    <w:p>
      <w:r>
        <w:t>IT: GE_GERICHTE A/3440/2021 del 15 dicembre 2022</w:t>
      </w:r>
    </w:p>
    <w:p>
      <w:pPr>
        <w:pStyle w:val="Heading2"/>
      </w:pPr>
      <w:r>
        <w:t>Erwägungen</w:t>
      </w:r>
    </w:p>
    <w:p>
      <w:r>
        <w:rPr>
          <w:b/>
        </w:rPr>
        <w:t>E. 3</w:t>
      </w:r>
    </w:p>
    <w:p>
      <w:r>
        <w:t>Le 1er janvier 2021 est entrée en vigueur la modification du 21 juin 2019 de la LPGA. Dans la mesure où le recours a été interjeté postérieurement au 1er janvier 2021, il est soumis au nouveau droit (cf. art. 82a LPGA).![endif]&gt;![if&gt;</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w:t>
      </w:r>
    </w:p>
    <w:p>
      <w:r>
        <w:rPr>
          <w:b/>
        </w:rPr>
        <w:t>E. 5</w:t>
      </w:r>
    </w:p>
    <w:p>
      <w:r>
        <w:t>Le litige porte sur la question de savoir si c’est à juste titre que l’intimé a requis de la recourante la restitution de CHF 30'825.-, correspondant aux prestations versées en trop du 1 er juin 2014 au 31 mai 2021, plus particulièrement sur celle de savoir si c'est à juste titre que le SPC a considéré que sa bénéficiaire avait partagé son logement avec une tierce personne jusqu'au 31 mai 2021 et comptabilisé dans ses calculs le loyer proportionnellement au nombre d’habitants. ![endif]&gt;![if&gt;</w:t>
      </w:r>
    </w:p>
    <w:p>
      <w:r>
        <w:rPr>
          <w:b/>
        </w:rPr>
        <w:t>E. 6</w:t>
      </w:r>
    </w:p>
    <w:p>
      <w:r>
        <w:t>S'agissant des prestations complémentaires (PC) fédérales, l’art. 9 al. 1 LPC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relatifs.![endif]&gt;![if&gt; Sur le plan cantonal, ont droit aux PC les personnes dont le revenu annuel déterminant n’atteint pas le revenu minimum cantonal d’aide sociale applicable (art. 4 LPCC). Le revenu déterminant est calculé conformément aux règles fixées dans la loi fédérale et ses dispositions d'exécution (art. 5 al. 1 LPCC), il en va de même des dépenses déductibles (art. 6 LPCC). 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ss). Cette règle vise à empêcher le financement indirect de personnes non comprises dans le calcul des prestations complémentaires. En conséquence, peu importe la répartition réelle du paiement du loyer entre les personnes partageant le foyer</w:t>
      </w:r>
    </w:p>
    <w:p>
      <w:r>
        <w:rPr>
          <w:b/>
        </w:rPr>
        <w:t>E. 7</w:t>
      </w:r>
    </w:p>
    <w:p>
      <w:r>
        <w:t>Les décisions de prestations complémentaires peuvent être modifiées avec effet ex tunc lorsque sont réalisées les conditions présidant à la révocation, par son auteur, d’une décision administrative.![endif]&gt;![if&gt; L’art. 25 al. 1 1 ère phrase LPGA énonce que les prestations indûment touchées doivent être restituées. Le droit de demander la restitution s’éteint un an dès le moment où l’institution d’assurance a eu connaissance du fait, mais au plus tard cinq ans après le versement de la prestation. Si la créance nait d’un acte punissable pour lequel le droit pénal prévoit un délai de prescription plus long, celui-ci est déterminant (al. 2). L’obligation de restituer les prestations complémentaires indûment touchées et son étendue dans le temps ne sont pas subordonnées à une violation de l’obligation de renseigner. Il s’agit en effet simplement de rétablir l’ordre légal après la découverte d’un fait nouveau (ATF 122 V 134 ).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ATF 138 V 426 consid. 5.2.1 et les références; ATF 130 V 318 consid. 5.2 et les références).</w:t>
      </w:r>
    </w:p>
    <w:p>
      <w:r>
        <w:rPr>
          <w:b/>
        </w:rPr>
        <w:t>E. 8</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![endif]&gt;![if&gt; L'art. 14 du règlement relatif aux prestations cantonales complémentaires à l'assurance-vieillesse et survivants et à l’assurance-invalidité du 25 juin 1999 (RPCC-AVS/AI - J 4 25.03) précise que le SPC doit demander la restitution des prestations indûment touchées au bénéficiaire.</w:t>
      </w:r>
    </w:p>
    <w:p>
      <w:r>
        <w:rPr>
          <w:b/>
        </w:rPr>
        <w:t>E. 9</w:t>
      </w:r>
    </w:p>
    <w:p>
      <w:r>
        <w:t>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 ![endif]&gt;![if&gt; Jusqu’au 31 décembre 2020, l’art. 25 al. 2 1 ère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 Etant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1 ère phrase LPGA dans sa teneur en vigueur jusqu’au 31 décembre 2020 qui est applicable dans le cas présent. Les délais de l’art. 25 al. 2 LPGA sont des délais (relatif et absolu) de péremption, qui doivent être examinés d'office (ATF 146 V 217 consid. 2.1 et les références; ATF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aussi ATF 140 I 285 consid. 6.3.1 et les références). ![endif]&gt;![if&gt;</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12</w:t>
      </w:r>
    </w:p>
    <w:p>
      <w:r>
        <w:t>En l'espèce, la question litigieuse est de déterminer si la recourante a bel et bien partagé son logement avec feu M. C______ depuis mars 2008 jusqu'à son hospitalisation, en mai 2021, ainsi que peut le faire penser le fait que ce dernier se soit annoncé comme domicilié chez la bénéficiaire auprès de l'OCPM.![endif]&gt;![if&gt; C'est le lieu de rappeler que, certes, les autorités doivent pouvoir se fier aux indications officielles, et l'annonce officielle d'un changement d'adresse constitue en ce sens un indice, mais qu'il y aurait toutefois formalisme excessif à refuser de prendre en compte une situation concrète établie et prouvée par pièce (voir par exemple ATF 119 Ia IV). D'autant qu'ainsi que l'a confirmé l'OCPM, ce dernier ne s'est livré à aucune vérification avant d'accéder à la demande de feu M. C______. La recourante soutient quant à elle que M. C______ n'a habité chez elle que depuis qu'il a été terrassé par la maladie alors qu'il lui amenait ses courses, soit durant quelques semaines à peine avant son hospitalisation, puis son décès. Il est vrai que cette version paraît difficile à soutenir, d'autant que le courrier adressé par la bénéficiaire elle-même, en avril 2021 à l'intimé, reconnaît sans discussion possible la présence de M. C______, lequel est même mentionné comme "personne partageant le logement" dans le formulaire ad hoc rempli au même moment. Mais on peut penser qu'il y a simplement eu là confusion de dates chez la bénéficiaire et admettre que M. C______ a partagé son salon, non pas à compter du début du mois de mai, mais bien depuis la fin du mois d'avril 2021 déjà. Il est certes troublant, comme l'ont relevé plusieurs acteurs, que, pas une fois en treize années, le courrier de M. C______ ne soit parvenu à la bénéficiaire, qui affirme pourtant ne jamais lui avoir confié de clé de sa boîte aux lettres et ce, alors que la Poste – pour autant que l'on puisse se fier à ses réponses pour le moins contradictoires – a affirmé que l'intéressé n'avait pris aucune disposition, telle que garde du courrier en poste restante ou ouverture d'une boîte postale. Les témoignages des proches de la recourante, bien que nombreux et convergents, paraissent parfois également troublants à certains égards. Comme lorsque la nièce de la bénéficiaire affirme ne jamais avoir constaté la présence d'un tiers chez sa tante, même en mai 2021, période durant laquelle ladite présence a pourtant été établie et admise. Ou encore le fait que le fils de la recourante, qui connaissait M. C______ depuis des décennies, dise pourtant tout ignorer de son lieu de vie et lui fasse cependant confiance au point de lui demander de s'occuper régulièrement de sa mère. Cela étant, il ressort de l'ensemble des témoignages recueillis que feu M. C______ a mené sa vie de manière pour le moins particulière. C'est finalement le témoignage de ses frère et sœur – qui n'ont aucun intérêt à travestir la réalité – qui emporte la conviction de la Cour de céans. Il en ressort que M. C______ était effectivement très secret, qu'il a logé de-ci de-là, chez des amis dont sa famille ignorait tout, durant des années, qu'il a gagné suffisamment d'argent, en travaillant jusqu'à sa retraite, pour ne jamais solliciter l'aide sociale, qu'il semblait transporter sur lui l'intégralité de ses biens, dans un sac de sport évoqué par plusieurs intervenants, et qu'il a emporté avec lui à l'hôpital, comme en a témoigné sa sœur. A cette dernière, il a d'ailleurs clairement indiqué qu'il ne logeait effectivement pas chez la recourante. On ignore par quel stratagème il a réussi à mettre la main sur son courrier durant des années avant qu'il ne parvienne à la recourante. Sans doute le même dont il a usé lorsqu'il était domicilié chez sa sœur, qui dit n'avoir reçu un courrier pour lui qu'à une seule occasion. Quoi qu'il en soit, de l'ensemble des témoignages, la Cour de céans ressort convaincue, au degré de la vraisemblance prépondérante, que, malgré la subsistance de quelques zones d'ombre, feu M. C______, comme il l'a affirmé à sa sœur à la veille de sa mort, a vécu de divers expédients, logé chez des amis ou la famille, sans jamais poser longuement son maigre bagage et, en particulier, qu'il n'a pas partagé le logement de la bénéficiaire avant la fin du mois d'avril 2021. Dans ces conditions, la décision de procéder à un recalcul du droit aux prestations en tenant compte d'un loyer proportionnel avant le mois d'avril 2021 apparaît injustifiée. En ce sens, le recours est donc admis partiellement, la cause étant renvoyée à l'intimé à charge pour ce dernier de recalculer le montant à restituer en tenant compte de la compensation à laquelle il a déjà procédé et de la seule période d'avril-mai 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