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A/3432/2015 vom 21. Juni 2016</w:t>
      </w:r>
    </w:p>
    <w:p>
      <w:r>
        <w:t>GE Cour de justice, 2016-06-21, FR</w:t>
      </w:r>
    </w:p>
    <w:p>
      <w:r>
        <w:rPr>
          <w:b/>
        </w:rPr>
        <w:t xml:space="preserve">Quelle: </w:t>
      </w:r>
      <w:r>
        <w:t>https://mcp.opencaselaw.ch/entscheid/ge_gerichte_A_3432_2015</w:t>
      </w:r>
    </w:p>
    <w:p>
      <w:r>
        <w:t>FR: GE_GERICHTE A/3432/2015 du 21 juin 2016</w:t>
      </w:r>
    </w:p>
    <w:p>
      <w:r>
        <w:t>IT: GE_GERICHTE A/3432/2015 del 21 giugno 2016</w:t>
      </w:r>
    </w:p>
    <w:p>
      <w:pPr>
        <w:pStyle w:val="Heading2"/>
      </w:pPr>
      <w:r>
        <w:t>Erwägungen</w:t>
      </w:r>
    </w:p>
    <w:p>
      <w:r>
        <w:rPr>
          <w:b/>
        </w:rPr>
        <w:t>E. 1</w:t>
      </w:r>
    </w:p>
    <w:p>
      <w:r>
        <w:t>Si le taux d'invalidité du bénéficiaire de la rente subit une modification notable, la rente est, d'office ou sur demande, révisée pour l'avenir, à savoir augmentée ou réduite en conséquence, ou encore supprimée.</w:t>
      </w:r>
    </w:p>
    <w:p>
      <w:r>
        <w:rPr>
          <w:b/>
        </w:rPr>
        <w:t>E. 2</w:t>
      </w:r>
    </w:p>
    <w:p>
      <w:r>
        <w:t>De même, toute prestation durable accordée en vertu d'une décision entrée en force est, d'office ou sur demande, augmentée ou réduite en conséquence, ou encore supprimée si les circonstances dont dépendait son octroi changent notablement ». L’art. 87 du règlement du 17 janvier 1961 sur l’assurance-invalidité du 17 janvier 1961 (RAI - RS 831.201) précise que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5).![endif]&gt;![if&gt; 6.        Il convient en l’espèce d'examiner si l’assuré a ou non rendu plausible une aggravation de son état de santé depuis le 19 mai 2009, date à laquelle une décision niant son droit à toute prestation AI a été rendue. ![endif]&gt;![if&gt; 7.        En novembre 2000, l’assuré a été victime d’un accident de voiture et a présenté une burst fracture de D11. Il a subi une spondylodèse D10-D12 le 27 novembre 2000, puis l’ablation du matériel d’ostéosynthèse le 7 octobre 2003. L’évolution a été progressivement favorable.![endif]&gt;![if&gt; Le Dr B______ a indiqué le 21 juin 2004 que l’on pouvait s’attendre à des lombalgies résiduelles à la charge selon le type d’activité physique ou professionnelle. 8.        Le Dr C______ a indiqué le 4 juin 2015 que l’assuré souffrait depuis « l’an dernier » d’une lombo-sciatalgie D sur discopathie L5/Sl avec herniation compressive de S1 à droite, traitée conservativement. Une volumineuse hernie discale a été mise en évidence lors des IRM des 24 avril 2013 et 27 avril 2015.![endif]&gt;![if&gt; Dans son avis du 13 mars 2016, le Dr E______ fait état d’une hernie discale L5-S1 associée à un rétrécissement foraminal bilatéral d’origine mixte à prédominance droite, marquée par une sciatalgie droite clinique nette, d’une inflammation des plateaux vertébraux inférieurs de L5 et supérieurs de S1 avec la présence du signe de MODIC, et d’une décompensation dégénérative post traumatique et algique des étages sus et sous-jacents à la fracture de la vertèbre TH11. Selon ce médecin, l’assuré présente une aggravation de son état de santé au plan de l’appareil locomoteur. L’incapacité de travail est totale. 9.        Force est ainsi de constater que l’état de santé de l’assuré s’est aggravé depuis 2009 et que cette aggravation a une répercussion négative sur sa capacité de travail.![endif]&gt;![if&gt; L’assuré a apporté les éléments médicaux pertinents permettant de rendre plausible une aggravation de son état de santé depuis la dernière décision de l'OAI du 19 mai 2009 et propre à modifier ses droits, de sorte que c'est à tort que l'OAI a refusé d'entrer en matière. Il y a à ce stade lieu de rappeler que le juge doit examiner la situation d’après l’état de fait tel qu’il se présentait au moment où l’OAI a statué. On ajoutera ainsi que, dans la mesure où l’avis du Dr E______ confirme l'existence des atteintes relevées par le Dr C______ dans son rapport du 4 juin 2015 et permet d'apprécier les circonstances au moment où la décision litigieuse du 25 septembre 2015 a été rendue, il peut être pris en compte par la chambre de céans dans le cadre du présent litige, même si l'intimé n'en avait pas connaissance au moment de notifier sa décision. Ce qui importe en effet est que les nouvelles atteintes étaient déjà présentes lorsque la décision litigieuse a été rendue. 10.    Partant, le recours est admis et la décision litigieuse annulée. La cause est renvoyée à l'OAI afin qu'il entre en matière, effectue une instruction médicale et rende une décision sujette à recours.![endif]&gt;![if&gt; 11.    Représenté par un mandataire, l’assuré, qui obtient partiellement gain de cause, a droit à une indemnité de CHF 2'000.- à titre de dépens (art. 61 let. g LPGA ; art. 89 H de la loi sur la procédure administrative du 12 septembre 1985 [LPA – E 5 10]; art. 6 du règlement sur les frais, émoluments et indemnités en procédure administrative du 30 juillet 1986 [RFPA -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