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A/3423/2024 vom 19. November 2024</w:t>
      </w:r>
    </w:p>
    <w:p>
      <w:r>
        <w:t>GE Cour de justice, 2024-11-19, FR</w:t>
      </w:r>
    </w:p>
    <w:p>
      <w:r>
        <w:rPr>
          <w:b/>
        </w:rPr>
        <w:t xml:space="preserve">Quelle: </w:t>
      </w:r>
      <w:r>
        <w:t>https://mcp.opencaselaw.ch/entscheid/ge_gerichte_A_3423_2024</w:t>
      </w:r>
    </w:p>
    <w:p>
      <w:r>
        <w:t>FR: GE_GERICHTE A/3423/2024 du 19 novembre 2024</w:t>
      </w:r>
    </w:p>
    <w:p>
      <w:r>
        <w:t>IT: GE_GERICHTE A/3423/2024 del 19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12 novembre 2024 et statuant ce jour, elle respecte ce délai.</w:t>
      </w:r>
    </w:p>
    <w:p>
      <w:r>
        <w:rPr>
          <w:b/>
        </w:rPr>
        <w:t>E. 3</w:t>
      </w:r>
    </w:p>
    <w:p>
      <w:r>
        <w:t>Est litigieuse l’interdiction de pénétrer dans tout le territoire cantonal pendant douze mois.</w:t>
      </w:r>
    </w:p>
    <w:p>
      <w:r>
        <w:rPr>
          <w:b/>
        </w:rPr>
        <w:t>E. 3.1</w:t>
      </w:r>
    </w:p>
    <w:p>
      <w:r>
        <w:t>À teneur de l’art. 10 al. 2 2 e phr. LaLEtr, la chambre de céans est compétente pour apprécier l'opportunité des décisions portées devant elle en cette matière.</w:t>
      </w:r>
    </w:p>
    <w:p>
      <w:r>
        <w:rPr>
          <w:b/>
        </w:rPr>
        <w:t>E. 3.2</w:t>
      </w:r>
    </w:p>
    <w:p>
      <w:r>
        <w:t>Aux termes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 cette mesure vise notamment à lutter contre le trafic illégal de stupéfiants (let. a).</w:t>
      </w:r>
    </w:p>
    <w:p>
      <w:r>
        <w:rPr>
          <w:b/>
        </w:rPr>
        <w:t>E. 3.3</w:t>
      </w:r>
    </w:p>
    <w:p>
      <w:r>
        <w:t>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Le simple soupçon qu'un étranger puisse commettre des infractions dans le milieu de la drogue justifie une mesure prise en application de l'art. 74 al. 1 let. a LEI (arrêt du Tribunal fédéral 2C_762/2021 du 13 avril 2022 consid. 5.2) ; de tels soupçons peuvent découler du seul fait de la possession de stupéfiants destinés à sa propre consommation (arrêt du Tribunal fédéral 2C_123/2021 précité consid. 3.1 et l'arrêt cité).</w:t>
      </w:r>
    </w:p>
    <w:p>
      <w:r>
        <w:rPr>
          <w:b/>
        </w:rPr>
        <w:t>E. 3.4</w:t>
      </w:r>
    </w:p>
    <w:p>
      <w:r>
        <w:t>L'art. 74 LEI ne précise ni la durée ni l'étendue géographique de la mesure. Elle doit dans tous les cas répondre au principe de proportionnalité, soit être adéquate au but visé et rester dans un rapport raisonnable avec celui-ci (ATF 142 II 1 consid. 2.3). 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 du Tribunal fédéral 2C_1044/2012 du 5 novembre 2012 consid. 3.3 ; ATA/1126/2024 du 24 septembre 2024 consid. 3.3).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in Martina CARONI/Thomas GÄCHTER/Daniela TURNHERR [éd.], Bundesgesetz über die Ausländerinnen und Ausländer, 2010,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La mesure ne peut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w:t>
      </w:r>
    </w:p>
    <w:p>
      <w:r>
        <w:rPr>
          <w:b/>
        </w:rPr>
        <w:t>E. 3.5</w:t>
      </w:r>
    </w:p>
    <w:p>
      <w:r>
        <w:t>La chambre de céans a déjà plusieurs fois confirmé une interdiction territoriale de douze mois dans le canton de Genève, y compris à l’encontre d’une personne sans antécédents, interpellé et condamné par le MP pour avoir vendu une boulette de cocaïne, l’intéressé n’ayant aucune ressource financière ni aucun intérêt à venir dans le canton ( ATA/1316/2022 du 29 décembre 2022 ; ATA/655/2021 du 23 juin 2021 ; ATA/802/2019 du 17 avril 2019), à l’encontre d’une ressortissante française condamnée à plusieurs reprises pour infractions à la LStup qui admettait consommer des stupéfiants et s’adonner au trafic de ceux-ci ( ATA/255/2022 du 10 mars 2022), ou encore à l'encontre d'un ressortissant nigérian au bénéfice d'un titre de séjour valable délivré par les autorités italiennes, disant être domicilié à Brindisi et condamné à plusieurs reprises à Genève, notamment pour infractions à la LStup ( ATA/529/2024 du 30 avril 2024). Elle a aussi confirmé des interdictions territoriales pour une durée de 18 mois prononcées contre un étranger interpellé en flagrant délit de vente de deux boulettes de cocaïne et auparavant condamné deux fois et arrêté une fois pour trafic de stupéfiants ( ATA/924/2022 du 15 septembre 2022) ou un étranger sans titre, travail, lieu de séjour précis ni attaches à Genève, condamné plusieurs fois pour infractions à la LEI et la LStup ( ATA/536/2022 du 20 mai 2022). Dans un cas concernant un consommateur de marijuana, ayant fait l’objet de deux ordonnances pénales pour vente de 1 gr de cocaïne et cinq pilules d’ecstasy, la chambre de céans avait relevé, en l’absence d’un recours du commissaire, que la fixation par le TAPI de la durée de la mesure à six mois n’était pas disproportionnée et qu’elle pourrait même être regardée comme relativement clémente au vu de la jurisprudence récente ( ATA/610/2022 du 8 juin 2022). Dans la cas d’un consommateur de marijuana, objet de deux ordonnances pénales pour infraction à la LEI s’agissant de la première et vente d’une boulette de haschich pour la seconde ( ATA/133/2023 du 8 février 2023), ordonnances non définitives et sans autres antécédents, l’interdiction de l’entier du territoire du canton pendant six mois a été jugée proportionnée.</w:t>
      </w:r>
    </w:p>
    <w:p>
      <w:r>
        <w:rPr>
          <w:b/>
        </w:rPr>
        <w:t>E. 3.6</w:t>
      </w:r>
    </w:p>
    <w:p>
      <w:r>
        <w:t>En l'espèce, les conditions d'application de l'art. 74 LEI sont remplies. Le recourant n'est en effet pas titulaire d'une autorisation de séjour. Par ailleurs, il a troublé ou menacé la sécurité et l'ordre publics ; il a ainsi été notamment condamné, par ordonnance pénale du 6 octobre 2024, pour avoir vendu un sachet de marijuana d’un poids total brut de 3.1 grammes pour la somme de CHF 50.-. Entendu par la police, il a reconnu en consommer. Le fait que cette condamnation ne soit pas définitive ne heurte pas la présomption d'innocence, qui ne s'applique qu'aux accusations en matière pénale au sens de l'art. 6 § 1 de la Convention de sauvegarde des droits de l’homme et des libertés fondamentales du 4 novembre 1950 (CEDH - RS 0.101), ce que n'est pas l'interdiction territoriale, qui a une visée préventive et non punitive, et qui peut être prononcée indépendamment de toute condamnation pénale (notamment dans les cas prévus aux let. b et c de l'art. 74 LEI). Il résulte du reste du texte de l'art. 74 al. 1 let. a LEI que celui qui menace l'ordre public peut également faire l'objet de la mesure, ce qui démontre qu'une condamnation pénale définitive n'est pas nécessaire, une menace de trouble n'étant que rarement punissable pénalement de manière indépendante. Le témoignage des policiers assermentés, de l’acheteur ainsi que le sachet récupéré sur ce dernier fondent le soupçon d'une infraction à la législation sur les stupéfiants et peuvent justifier une mesure d'interdiction territoriale, un tel comportement constituant indéniablement un trouble à l'ordre public et étant prévu expressément par l'art. 6 al. 3 LaLEtr, quand bien même celui-ci parle de condamnation, sans indiquer cependant que cette dernière devrait nécessairement être définitive (arrêt du Tribunal fédéral 2C_123/2021 du 5 mars 2021). De surcroît, l’intéressé a déjà été condamné pour des faits similaires en 2016 et ne conteste pas être consommateur de marijuana. La mesure respecte le principe de la proportionnalité tant au regard de l'étendue géographique que de la durée de celle-ci. Le recourant n'a aucun titre de séjour ni autorisation de travailler en Suisse. Les allégations relatives à sa relation sentimentale ne peuvent être retenues en l’absence de tout renseignement, à l’exception du prénom de la femme concernée et de sa profession. Le recourant ignore le nom de sa compagne, qualifiée de fiancée, de son lieu de travail et même de son adresse alors même qu’il soutient la voir les week-ends à Genève et non à Annemasse où il indique résider. Il ressort par ailleurs de l’ordonnance pénale du 6 octobre 2024 qu’il serait marié en Espagne et père de quatre enfants. Celui-ci ne peut donc se prévaloir d'un intérêt privé à pouvoir librement circuler dans le canton de Genève, alors que l'intérêt public à le tenir éloigné de ce territoire au vu des risques qu'il présente pour la sécurité et l'ordre publics est prépondérant. Partant, les conditions de l’art. 74 LEI sont réalisées et le principe d’une interdiction de pénétrer sur le territoire fondé. Par ailleurs, dans les circonstances précitées, dès lors qu'aucune raison valable de séjourner dans le canton de Genève n'a été fournie par le recourant, on ne voit pas en quoi le principe de la proportionnalité commanderait de limiter l'étendue territoriale ou la durée de la mesure. Il résulte de ce qui précède que le recours, entièrement infondé, sera rejeté.</w:t>
      </w:r>
    </w:p>
    <w:p>
      <w:r>
        <w:rPr>
          <w:b/>
        </w:rPr>
        <w:t>E. 4</w:t>
      </w:r>
    </w:p>
    <w:p>
      <w:r>
        <w:t>La procédure étant gratuite, aucun émolument de procédure ne sera prélevé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