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A/341/2007 vom 14. Juni 2007</w:t>
      </w:r>
    </w:p>
    <w:p>
      <w:r>
        <w:t>GE Cour de justice, 2007-06-14, FR</w:t>
      </w:r>
    </w:p>
    <w:p>
      <w:r>
        <w:rPr>
          <w:b/>
        </w:rPr>
        <w:t xml:space="preserve">Quelle: </w:t>
      </w:r>
      <w:r>
        <w:t>https://mcp.opencaselaw.ch/entscheid/ge_gerichte_A_341_2007</w:t>
      </w:r>
    </w:p>
    <w:p>
      <w:r>
        <w:t>FR: GE_GERICHTE A/341/2007 du 14 juin 2007</w:t>
      </w:r>
    </w:p>
    <w:p>
      <w:r>
        <w:t>IT: GE_GERICHTE A/341/2007 del 14 giugno 2007</w:t>
      </w:r>
    </w:p>
    <w:p>
      <w:pPr>
        <w:pStyle w:val="Heading2"/>
      </w:pPr>
      <w:r>
        <w:t>Regeste</w:t>
      </w:r>
    </w:p>
    <w:p>
      <w:r>
        <w:t>Notification | Vice dans la notification d'un commandement de payer en mains d'un tiers non muni d'une procuration. Vice réparé dans la mesure où le commandement de payer est parvenu en mains du débiteur. | LP.72</w:t>
      </w:r>
    </w:p>
    <w:p>
      <w:pPr>
        <w:pStyle w:val="Heading2"/>
      </w:pPr>
      <w:r>
        <w:t>Erwägungen</w:t>
      </w:r>
    </w:p>
    <w:p>
      <w:r>
        <w:rPr>
          <w:b/>
        </w:rPr>
        <w:t>E. 1</w:t>
      </w:r>
    </w:p>
    <w:p>
      <w:r>
        <w:t>La présente plainte a été déposée en temps utile et dans les formes prescrites. Un commandement de payer est une mesure sujette à plainte et le plaignant, en tant que poursuivi, a qualité pour agir par cette voie (art. 17 LP ; art. 10 al. 1 et 13 LaLP ; art. 56R al. 3 LOJ). Elle est donc recevable. 2.a Tant un commandement de payer qu’une commination de faillite sont des actes de poursuite devant faire l’objet d’une communication revêtant la forme qualifiée de la notification (art. 72 et 161 LP). Cette dernière consiste en la remise de l’acte à découvert en mains du poursuivi ou, en l’absence de ce dernier, en mains de l’une des personnes de remplacement désignées par la loi et aux lieux prévus par la loi, au besoin au terme d’une recherche sérieuse du poursuivi ou, à défaut, de l’une des personnes de remplacement (ATF 117 III 7 consid. 3b ; Walter A. Stoffel , Voies d’exécution § 3 n° 20 ss ; Jolanta Kren -Kostkiewicz , Zustellung von Betreibungsurkunden, in BlSchK 1996, p. 201 ss, 204 ; Yves Donzallaz , La notification en droit interne suisse, Berne 2002, p. 212 s. n° 378 s.). Les actes de poursuites peuvent également être notifiés à leur destinataire ou à son représentant, parlant à sa personne, en n’importe quel lieu que ce soit, pourvu que l’agent notificateur soit à même de l’identifier. La demeure du destinataire, le lieu où il exerce habituellement sa profession, le bureau du représentant ne sont, en effet, que des éléments propres à identifier le destinataire ou la personne habilitée à recevoir l’acte de poursuite (Pierre-Robert Gilliéron , Commentaire ad art. 64 n° 9 et les jurisprudences citées). 2.b. Selon l’art. 72 LP, la notification est opérée par le préposé, par un employé de l’Office ou par la poste (al. 1). Celui qui procède à la notification atteste sur chaque exemplaire le jour où elle a eu lieu et la personne à laquelle l’acte a été remis (al. 2). Selon l’art. 74 LP, le débiteur poursuivi qui entend former opposition doit, verbalement ou par écrit, en faire la déclaration immédiate à celui qui lui remet le commandement de payer ou à l’Office dans les dix jours à compter de la notification du commandement de payer. 2.c. La violation des dispositions sur la notification des actes de poursuite ne réside pas forcément dans la nullité des notifications viciées. Tel est cependant le cas lorsqu’il n’est pas établi qu’un commandement de payer ou une commination de faillite est néanmoins parvenue en mains du poursuivi ou d’une personne de remplacement désignée par la loi. Si, malgré une notification viciée, l’acte parvient en mains du poursuivi ou de la personne compétente pour recevoir la notification ou encore si le destinataire participe ultérieurement à des actes de poursuites dont il pouvait déduire le contenu de l’acte mal notifié, les irrégularités de la notification n’entraînent, en principe, ni la nullité de celle-ci, ni la nullité du commandement de payer, respectivement de la commination de faillite (cf. ATF 128 III 101 consid. 2, JdT 2002 II 23 ; BISchK 2002 51 ss et 2003 116 ss). Par ailleurs, l’annulation, sur plainte, de la notification irrégulière suppose en outre que le poursuivi ait subi un préjudice, par exemple de ne pas avoir pu utiliser le délai d’opposition. Ainsi, en cas de vice dans la notification, le commandement de payer déploie néanmoins ses effets dès que le poursuivi en a eu connaissance. Une nouvelle notification ne donnerait, en effet, au poursuivi aucun renseignement complémentaire sur la poursuite engagée et aboutirait à un formalisme excessif. Dans un tel cas cependant, le point de départ du délai pour former opposition est le jour où le poursuivi a effectivement eu connaissance du commandement de payer, celui-ci ne pouvant être contraint, au risque d'être déchu du droit de faire opposition, de déposer plainte contre une notification viciée (ATF 120 III 114 consid. 3b, JdT 1997 II 50 ; 112 III 81 consid. 2, JdT 1989 II 2 ; 104 III 12 , JdT 1979 II 123). 2.d. C’est sur l’Office que pèse le fardeau de la preuve de la notification régulière des actes de poursuite, sans préjudice d’une obligation du poursuivi de collaborer à l’établissement des faits (art. 20a al. 2 ch. 2 LP). A ce dernier égard, la sanction du défaut de collaboration du plaignant peut être l’irrecevabilité de la plainte (Pauline Erard , in CR-LP, ad art. 20a n° 14).</w:t>
      </w:r>
    </w:p>
    <w:p>
      <w:r>
        <w:rPr>
          <w:b/>
        </w:rPr>
        <w:t>E. 3</w:t>
      </w:r>
    </w:p>
    <w:p>
      <w:r>
        <w:t>En l'espèce, il ressort des pièces produites par le plaignant, plus particulièrement du courrier du 13 janvier 2007 qu'il a adressé à l'Office, que, dans le cadre de la poursuite n° 06 xxxx46 M, il a chargé M. C______ de se rendre à l'Office pour que le commandement de payer soit notifié en ses mains. Cette procuration ne fait pas mention de la poursuite n° 06 xxxx49 K. Force est donc de constater que la procuration établie par le plaignant ne valait pas pour la poursuite n° 06 xxxx49 K et que l'Office n'était pas fondé à notifier le commandement de payer attaqué en mains de M. C______. La notification de cet acte de poursuite est donc viciée. Cela étant, la Commission de céans constate que l'acte de poursuite attaqué est néanmoins parvenu en mains du plaignant qui a pu valablement sauvegarder ses droits en formant opposition. Partant, conformément à la jurisprudence susmentionnée (cf consid. 2.c), il n'y a pu lieu d'annuler la notification litigieuse et la plainte doit être rejetée. * * * * * PAR CES MOTIFS, LA COMMISSION DE SURVEILLANCE SIÉGEANT EN SECTION : A la forme : Déclare recevable la plainte A/341/2007 formée le 25 janvier 2007 par M. G______ contre le commandement de payer poursuite n° 06 xxxx49 K notifié le 15 janvier 2007. Au fond : 1. La rejette. 2. Déboute les parties de toutes autres conclusions. Siégeant : Mme Ariane WEYENETH, présidente ;  MM. Denis MATHEY et Olivier WEHRLI, juges-assesseurs. Au nom de la Commission de surveillance : Paulette DORMAN Ariane WEYENETH Greffière Présidente La présente décision est communiquée par courrier A à l’Office concerné et par pli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