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A/3418/2022 vom 12. Dezember 2023</w:t>
      </w:r>
    </w:p>
    <w:p>
      <w:r>
        <w:t>GE Cour de justice, 2023-12-12, FR</w:t>
      </w:r>
    </w:p>
    <w:p>
      <w:r>
        <w:rPr>
          <w:b/>
        </w:rPr>
        <w:t xml:space="preserve">Quelle: </w:t>
      </w:r>
      <w:r>
        <w:t>https://mcp.opencaselaw.ch/entscheid/ge_gerichte_A_3418_2022</w:t>
      </w:r>
    </w:p>
    <w:p>
      <w:r>
        <w:t>FR: GE_GERICHTE A/3418/2022 du 12 décembre 2023</w:t>
      </w:r>
    </w:p>
    <w:p>
      <w:r>
        <w:t>IT: GE_GERICHTE A/3418/2022 del 12 dicembre 2023</w:t>
      </w:r>
    </w:p>
    <w:p>
      <w:pPr>
        <w:pStyle w:val="Heading2"/>
      </w:pPr>
      <w:r>
        <w:t>Regeste</w:t>
      </w:r>
    </w:p>
    <w:p>
      <w:r>
        <w:t>AMÉNAGEMENT DU TERRITOIRE ET DROIT PUBLIC DES CONSTRUCTIONS;CONSTRUCTION ET INSTALLATION;TRAVAUX SOUMIS À AUTORISATION;PERMIS DE CONSTRUIRE;CONFORMITÉ À LA ZONE;SURFACE;PLANCHER;POUVOIR D'APPRÉCIATION;INDICE D'UTILISATION;5E ZONE;VILLA;VOISIN;ELÉMENT DE LA CONSTRUCTION;CALCUL;AUTORISATION DÉROGATOIRE(EN GÉNÉRAL) | Recours d’une propriétaire d’une villa sise en 5ème zone contre le jugement du TAPI annulant son autorisation de construire, délivrée par le département aux fins d’agrandissement de sa villa (sous-sol semi-enterrés, terrasses, piscine). Confirmation du jugement du TAPI et rejet des recours de la propriétaire et du département, la manière de calculer la surface de la terrasse telle que proposée par la propriétaire ne pouvant être suivie. Celle-ci divisait sa terrasse, formant pourtant une unité, en quatre segments distincts, afin de les comptabiliser chacun selon sa situation ressortant de la directive CDPI. Or, la surface de la terrasse forme une unité, et une seule CDPI. Elle ne peut donc être divisée artificiellement de cette manière. En outre, même à suivre la recourante, la surface totale de la terrasse est de 55 m2, et le total des CDPI sur la parcelle est supérieur à la limite de 8%. | RCI.3.al3</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w:t>
      </w:r>
    </w:p>
    <w:p>
      <w:r>
        <w:rPr>
          <w:b/>
        </w:rPr>
        <w:t>E. 1.1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w:t>
      </w:r>
    </w:p>
    <w:p>
      <w:r>
        <w:rPr>
          <w:b/>
        </w:rPr>
        <w:t>E. 1.2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179).![endif]&gt;![if&gt;</w:t>
      </w:r>
    </w:p>
    <w:p>
      <w:r>
        <w:rPr>
          <w:b/>
        </w:rPr>
        <w:t>E. 1.3</w:t>
      </w:r>
    </w:p>
    <w:p>
      <w:r>
        <w:t>Saisi d’un recours, le tribunal applique le droit d’office. Il ne peut pas aller au‑delà des conclusions des parties, mais n’est lié ni par les motifs invoqués par celles-ci (art. 69 al. 1 LPA), ni par leur argumentation juridique ( ATA/386/2018 du 24 avril 2018 consid. 1b ; ATA/117/2016 du 9 février 2016 consid. 2 ; ATA/723/2015 du 14 juillet 2015 consid. 4a).![endif]&gt;![if&gt;</w:t>
      </w:r>
    </w:p>
    <w:p>
      <w:r>
        <w:rPr>
          <w:b/>
        </w:rPr>
        <w:t>E. 1.4</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citées).![endif]&gt;![if&gt;</w:t>
      </w:r>
    </w:p>
    <w:p>
      <w:r>
        <w:rPr>
          <w:b/>
        </w:rPr>
        <w:t>E. 1.5</w:t>
      </w:r>
    </w:p>
    <w:p>
      <w:r>
        <w:t>En l'espèce, le recours est dirigé contre le jugement du TAPI du 27 avril 2023, annulant l’autorisation de construire DD 1______ du 15 septembre 2022. Partant, la chambre de céans doit uniquement examiner la conformité au droit de ce jugement, lequel est contesté par la propriétaire et le département uniquement s’agissant de la question des CDPI.![endif]&gt;![if&gt; Les autres éléments plaidés devant elle par les intimés, notamment ceux ayant trait au rapport de surfaces, à l’IVER ainsi qu’à la nouvelle autorisation DD 1______/2 et autres procédures d'autorisation sont exorbitants au présent litige et ne peuvent être examinés par la chambre de céans. En effet, en l’absence de recours de la part des voisins intimés, étant observé que le droit administratif ne connait pas l’institution du recours joint ( ATA/955/2021 du 16 septembre 2021 consid. 2d), il n’y a pas lieu de les analyser. Partant, les conclusions et griefs formulés par les intimés sortant du cadre des questions traitées durant cette procédure devant la chambre administrative seront donc déclarées irrecevables.</w:t>
      </w:r>
    </w:p>
    <w:p>
      <w:r>
        <w:rPr>
          <w:b/>
        </w:rPr>
        <w:t>E. 2</w:t>
      </w:r>
    </w:p>
    <w:p>
      <w:r>
        <w:t>), seconde limite à respecter selon l’art. 3 al. 3 RCI. Dans ces conditions, le grief avancé par la propriétaire et le département s’agissant de la conformité au droit du total des CDPI de la parcelle sera écarté. S’agissant enfin de la terrasse entourant la piscine, la question de savoir si elle doit être considérée également comme une CDPI ou non pourra rester ouverte, au vu de ce qui précède. Entièrement mal fondés, les recours seront rejetés, l’autorisation de construire délivrée le 15 septembre 2022 par le département n’étant pas conforme au droit.</w:t>
      </w:r>
    </w:p>
    <w:p>
      <w:r>
        <w:rPr>
          <w:b/>
        </w:rPr>
        <w:t>E. 2.1</w:t>
      </w:r>
    </w:p>
    <w:p>
      <w:r>
        <w:t>La définition des CDPI se trouve dans le règlement d’application à l’art. 3 al. 3 RCI qui indique que sont réputées CDPI, à la condition qu'elles ne servent ni à l'habitation, ni à l'exercice d'une activité commerciale, industrielle ou artisanale, celles dont la surface n'excède pas 50 m</w:t>
      </w:r>
    </w:p>
    <w:p>
      <w:r>
        <w:rPr>
          <w:b/>
        </w:rPr>
        <w:t>E. 2.2</w:t>
      </w:r>
    </w:p>
    <w:p>
      <w:r>
        <w:t>À noter qu’à la limite de densité de l’art. 59 al. 1 et 4 LCI, s’ajoute une autre limite, depuis l’adoption de l’art. 59 al. 3bis LCI le 28 novembre 2020 qui prévoit l’obligation de conserver une surface en pleine terre, dénuée de toute construction en surface ou en sous-sol et non revêtue, de la parcelle ou du groupe de parcelles considérées par le demande d’autorisation de construire.![endif]&gt;![if&gt;</w:t>
      </w:r>
    </w:p>
    <w:p>
      <w:r>
        <w:rPr>
          <w:b/>
        </w:rPr>
        <w:t>E. 2.3</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6a).![endif]&gt;![if&gt;</w:t>
      </w:r>
    </w:p>
    <w:p>
      <w:r>
        <w:rPr>
          <w:b/>
        </w:rPr>
        <w:t>E. 2.4</w:t>
      </w:r>
    </w:p>
    <w:p>
      <w:r>
        <w:t>Les CDPI font l’objet d’une directive du département du 3 février 2014, modifiée d’abord le 10 mars 2017 sous le numéro 024-v5, puis le 9 mars 2021 sous le numéro 024-v7 (ci-après : la directive CDPI). Cette dernière version comporte quelques ajouts issus de la jurisprudence ( ATA/805/2020 du 25 août 2020 ; ATA/1300/2019 du 27 août 2019 consid. 4e et les arrêts cités : pour le calcul relatif aux balcons/terrasses), mais ne change pas le contenu de la version antérieure.![endif]&gt;![if&gt; S’agissant des constructions considérées comme CDPI, la directive CDPI cite les garages, ateliers non professionnel, couverts à voitures, couverts de plaisance, couverts à bois, abris ou cabanes de jardin et pool-house. Elle précise également que les constructions de très peu d’importance au sens de l’art. 1 al. 4 LCI ne sont pas à prendre en compte au titre de CDPI, ainsi que les jardins d’hiver au sens de l’art. 59 al. 3 LCI et les pergolas (p.1). S’agissant de ce dernier objet, une note de bas de page précise (p. 5) qu’une pergola est « une construction légère dans un jardin, servant de support à des plantes grimpantes ». Cette mention est accompagnée de deux photographies d’installations comprenant des lamelles orientables, avec la précision que ce type de constructions est considéré comme une pergola et non comme un couvert. La directive CDPI rappelle que le respect du 8 % est impératif. Selon la directive CDPI, la hauteur maximale se prend construction finie, par exemple à la tuile faîtière, et se mesure entre le point le plus haut de la construction, pris à l’aplomb du terrain naturel.</w:t>
      </w:r>
    </w:p>
    <w:p>
      <w:r>
        <w:rPr>
          <w:b/>
        </w:rPr>
        <w:t>E. 2.5</w:t>
      </w:r>
    </w:p>
    <w:p>
      <w:r>
        <w:t>La chambre administrative se fonde, de jurisprudence constante, sur la directive CDPI pour déterminer les surfaces à prendre en compte à ce titre ( ATA/93/2021 du 26 janvier 2021 consid. 9d et 10 ; ATA/1104/2020 du 3 novembre 2020 consid. 3d et 4). Dans le cadre de l’application de l’art. 3 al. 3 RCI, la jurisprudence a déjà été amenée à préciser que les surfaces déterminantes étaient celles de l’emprise au sol d’une construction ( ATA/927/2021 du 7 septembre 2021 consid. 3b et les références citées). ![endif]&gt;![if&gt;</w:t>
      </w:r>
    </w:p>
    <w:p>
      <w:r>
        <w:rPr>
          <w:b/>
        </w:rPr>
        <w:t>E. 2.6</w:t>
      </w:r>
    </w:p>
    <w:p>
      <w:r>
        <w:t>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 ![endif]&gt;![if&gt; S’agissant des balcons/terrasses, la chambre administrative a d’ailleurs jugé que les surfaces des balcons/terrasses du premier étage - et du deuxième étage -, qui sont superposés à ceux du rez-de-chaussée,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 ATA/791/2022 du 9 août 2022 consid. 4c ; ATA/927/2021 du 7 septembre 2021 consid. 3b ; ATA/1300/2019 du 27 août 2019 consid. 4e ; ATA/1304/2018 du 4 décembre 2018 consid. 9g). Elle a également considéré que les terrasses situées au niveau du sol - ou non soutenues par des poteaux - ne pouvaient être assimilées au cas de figure relatif au surplomb d’étage (p. 4 de la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de la directive CDPI, deuxième ligne). En outre, en l’absence de poteau ou de mur soutenant les balcons/terrasses, le département pouvait tenir compte de la déduction de 1,50 m de profondeur comme cela était prévu dans la directive (p. 4 de la directive CDPI, deuxième ligne, croquis du milieu), à l’instar de la distance maximale autorisée par l’art. 25 al. 1 let. b et let. d ch. 2 RCI ( ATA/1300/2019 précité consid. 5).</w:t>
      </w:r>
    </w:p>
    <w:p>
      <w:r>
        <w:rPr>
          <w:b/>
        </w:rPr>
        <w:t>E. 2.7</w:t>
      </w:r>
    </w:p>
    <w:p>
      <w:r>
        <w:t>À titre exemplatif, il sera souligné que la chambre administrative a également retenu qu’une entrée de garage souterrain, à ciel ouvert, avec un muret de soutènement, était un aménagement extérieur qui ne répondait pas à la définition de CDPI et ne correspondait par ailleurs à aucun des schémas de la directive CDPI ( ATA/93/2021 du 26 janvier 2021 consid. 10). En revanche, la chambre administrative a admis que la partie couverte d'une rampe conduisant à l'entrée du rez-de-chaussée d'un bâtiment était une CDPI ( ATA/927/2021 du 7 septembre 2021 consid. 3d).![endif]&gt;![if&gt; Une piscine extérieure non couverte, quelle que soit sa taille, n’est pas une CDPI ( ATA/601/2023 du 6 juin 2023 consid. 3.6 ; ATA/437/2023 du 25 avril 2023 consid. 6), ce que le Tribunal fédéral a confirmé (arrêt du Tribunal fédéral 1C_494/2022 du 9 mai 2023 consid. 3.2). La chambre administrative a également qualifié la piscine en cause, d’une hauteur hors-sol de 0.85 m, d'aménagement extérieur non couvert ( ATA/791/2022 du 9 août 2022 consid. 4b). Par ailleurs, dans sa jurisprudence récente, la chambre administrative a retenu que même non prises en compte comme CDPI, il n’était pas fait abstraction de la surface des piscines extérieures, qu’elles soient ou non totalement enterrées, d’une surface inférieure ou supérieure à 50 m</w:t>
      </w:r>
    </w:p>
    <w:p>
      <w:r>
        <w:rPr>
          <w:b/>
        </w:rPr>
        <w:t>E. 2.8</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consid. 5j et les références citées). Toutefois, lorsqu'un préavis est obligatoire, il convient de ne pas le minimiser ( ATA/873/2018 du 28 août 2018 consid. 6b et les références citées). Dans le système prévu par l'art. 59 al. 4 let. a LCI, tant le préavis de la commune que celui de la CA ont cette caractéristique ( ATA/873/2018 précité consid. 6b).![endif]&gt;![if&gt; Il n'en demeure pas moins que la délivrance de telles autorisations de construire demeure de la compétence exclusive du département, à qui il appartient de statuer en tenant compte de tous les intérêts en présence ( ATA/1273/2017 du 12 septembre 2017 consid. 11c et les références citées).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w:t>
      </w:r>
    </w:p>
    <w:p>
      <w:r>
        <w:rPr>
          <w:b/>
        </w:rPr>
        <w:t>E. 2.9</w:t>
      </w:r>
    </w:p>
    <w:p>
      <w:r>
        <w:t>En l’espèce, le TAPI a considéré que les terrasses au rez-de-chaussée devaient être comptabilisées comme CDPI en raison de leur hauteur, ce qui faisait que la limite de 100 m</w:t>
      </w:r>
    </w:p>
    <w:p>
      <w:r>
        <w:rPr>
          <w:b/>
        </w:rPr>
        <w:t>E. 2.10</w:t>
      </w:r>
    </w:p>
    <w:p>
      <w:r>
        <w:t>Les parties s’opposent aussi sur le calcul des surfaces de la terrasse, qui représenterait seulement 38.90 m</w:t>
      </w:r>
    </w:p>
    <w:p>
      <w:r>
        <w:rPr>
          <w:b/>
        </w:rPr>
        <w:t>E. 3</w:t>
      </w:r>
    </w:p>
    <w:p>
      <w:r>
        <w:t>Vu l'issue du litige, un émolument de CHF 1’500.- sera mis à la charge de la recourante et aucun émolument ne sera mis à la charge de l'autorité recourante, qui défend sa propre décision (art. 87 al. 1 LPA). Une indemnité de procédure de CHF 1’500.- sera allouée conjointement aux voisins, qui y ont conclu, dont CHF 750.- à la charge de la recourante et CHF 750.-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