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A/3412/2025 vom 4. November 2025</w:t>
      </w:r>
    </w:p>
    <w:p>
      <w:r>
        <w:t>GE Cour de justice, 2025-11-04, FR</w:t>
      </w:r>
    </w:p>
    <w:p>
      <w:r>
        <w:rPr>
          <w:b/>
        </w:rPr>
        <w:t xml:space="preserve">Quelle: </w:t>
      </w:r>
      <w:r>
        <w:t>https://mcp.opencaselaw.ch/entscheid/ge_gerichte_A_3412_2025</w:t>
      </w:r>
    </w:p>
    <w:p>
      <w:r>
        <w:t>FR: GE_GERICHTE A/3412/2025 du 4 novembre 2025</w:t>
      </w:r>
    </w:p>
    <w:p>
      <w:r>
        <w:t>IT: GE_GERICHTE A/3412/2025 del 4 novembre 2025</w:t>
      </w:r>
    </w:p>
    <w:p>
      <w:pPr>
        <w:pStyle w:val="Heading2"/>
      </w:pPr>
      <w:r>
        <w:t>Erwägungen</w:t>
      </w:r>
    </w:p>
    <w:p>
      <w:r>
        <w:rPr>
          <w:b/>
        </w:rPr>
        <w:t>E. 3</w:t>
      </w:r>
    </w:p>
    <w:p>
      <w:r>
        <w:t>Sont considérés comme des produits assimilés au tabac : b) les cigarettes électroniques, présentant un dispositif utilisé sans tabac et permettant d’inhaler de la vapeur obtenue par chauffage d’un liquide avec ou sans nicotine, ainsi que les flacons de recharge et les cartouches pour ce dispositif. Un sous-type à usage unique de ces cigarettes électroniques est dénommé « puffs ». Art. 6, al. 5 (nouveau)</w:t>
      </w:r>
    </w:p>
    <w:p>
      <w:r>
        <w:rPr>
          <w:b/>
        </w:rPr>
        <w:t>E. 3.1</w:t>
      </w:r>
    </w:p>
    <w:p>
      <w:r>
        <w:t>L’octroi de mesures provisionnelles – au nombre desquelles figure l’effet suspensif (Philippe WEISSENBERGER/Astrid HIRZEL, Der Suspensiveffekt und andere vorsorgliche Massnahmen ,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ACST/9/2025 du 7 février 2025 ; ACST/19/2023 du 8 mai 2023 consid. 3.2).</w:t>
      </w:r>
    </w:p>
    <w:p>
      <w:r>
        <w:rPr>
          <w:b/>
        </w:rPr>
        <w:t>E. 3.2</w:t>
      </w:r>
    </w:p>
    <w:p>
      <w:r>
        <w:t>En matière de contrôle abstrait des normes, l’octroi de l’effet suspensif suppose en outre généralement que les chances de succès du recours apparaissent manifestes ( ACST/9/2025 précité ;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recours est dirigé contre la loi 13'580, plus précisément contre les art. 4 al. 3 let. b et 6 al. 5 LTGVEAT, soit une loi, acte visé à l’art. 57 let. d LPA, à l’encontre duquel le recours n’a pas d’effet suspensif (art. 66 al. 2 LPA). Il convient donc d’examiner s’il y a lieu de l’octroyer, ce qui, en matière de contrôle abstrait des normes, suppose en principe – et notamment – que les chances de succès du recours soient manifestes. Tel n’apparaît, sur la base d’un examen sommaire, pas être manifestement le cas. Premièrement, il n'est certes pas contestable que la question de savoir si les cantons sont compétents pour interdire la vente de « puffs », soit l'objet de l'art. 6 al. 5 LTGVEAT, se pose. Toutefois, la réponse ne s'impose pas d'emblée et mérite un examen approfondi. En effet, en matière de droit public, dans les domaines dans lesquels le législateur fédéral a légiféré mais pas de façon exhaustive, les cantons ont la compétence d’édicter des dispositions dont les buts et les moyens convergent avec ceux que prévoit le droit fédéral (ATF 150 I 213 consid. 4.1). En outre, même si la législation fédérale est considérée comme exhaustive dans un domaine donné, une loi cantonale peut subsister dans le même domaine, en particulier si elle poursuit un autre but que celui recherché par le droit fédéral. Le principe de la force dérogatoire n'est pas non plus violé, dans la mesure où la loi cantonale vient renforcer l'efficacité de la réglementation fédérale (ATF 151 I 113 consid. 7.1.1). Or, il n'est notamment pas évident de déterminer si la LPTab, qui s’applique aux produits du tabac et aux cigarettes électroniques mis à disposition sur le marché suisse (art. 2 al. 1), s'applique également aux « puffs » et, le cas échéant, règle de façon exhaustive la question de leur éventuelle interdiction et dans quels buts. Dans ces conditions, une éventuelle compétence cantonale d'interdire la vente des « puffs », même si elle se semble pas évidente, n'apparaît pas non plus d'emblée exclue. Deuxièmement, il apparaît a priori douteux que l'interdiction de vendre des « puffs » constitue une atteinte inadmissible à la liberté économique de la recourante. Conformément à l'art. 36 de la Constitution fédérale de la Confédération suisse du 18 avril 1999 (Cst. - RS 101), l'interdiction repose sur une base légale formelle (dans l'hypothèse où celle-ci doit être considérée comme conforme au droit fédéral) et poursuit des intérêts publics, soit la protection de la santé des consommateurs et en particulier celle des jeunes, ainsi que la préservation de l'environnement. Vu les intérêts publics en jeu, l'interdiction n'apparait pas en disproportion manifeste avec les intérêts privés de la recourante à commercialiser les « puffs », ce d'autant qu'elle peut continuer à commercialiser d'autres produits du tabac. Troisièmement, même si la question du respect du principe d'équivalence semble se poser, une violation de la liberté d'accès au marché ne s'impose pas non plus d'emblée. En effet, des restrictions à la liberté d’accès au marché sont possibles aux conditions de l'art. 3 de la loi fédérale sur le marché intérieur du 6 octobre 1995 (LMI - RS 943.02). Ces conditions semblent a priori réunies in casu . L'interdiction de vendre des « puffs » s'appliquent à tous les commerçants genevois, vise des intérêts publics et n'apparaît pas prima facie disproportionnée. Quatrièmement, le grief relatif à la violation de la Loi fédérale sur les entraves techniques au commerce du 6 octobre (LETC- RS 946.51) n'apparaît pas prima facie manifestement fondé. En effet, la LETC établit des règles uniformes applicables dans les domaines où la Confédération est compétente pour légiférer, visant à empêcher la création d’entraves techniques au commerce, à les éliminer ou à les réduire (art. 1 al. 1 LETC). Ainsi, le champ d'application de la LETC est limité, à une exception près, à la législation fédérale. La répartition des tâches entre la Confédération et les cantons n'est pas touchée par cette loi dont l'orientation est essentiellement technique (FF 1995 II 489 , 492). Par conséquent, l'application de la LETC au présent cas ne s'impose pas d'emblée, puisque, comme cela a été exposé supra , une éventuelle compétence cantonale d'interdire la vente des « puffs » n'est pas exclue. Cinquièmement, la recourante a contesté que les conditions de la clause d'urgence soient réunies. Vu les circonstances, notamment l'existence de discussions, lors du processus législatif, sur l'opportunité d'adopter des dispositions transitoires et les incertitudes qui demeurent sur la mise en œuvre de la novelle, ce grief n'apparaît pas dénué de pertinence. Toutefois, les autorités disposent d'une liberté d'appréciation dans l'adoption d'une telle clause et des intérêts de santé publique importants sont en jeu et doivent être pris en compte. Pour ces raisons, même si deux griefs en particulier méritent un examen approfondi, on ne saurait considérer que les chances de succès du recours apparaissent manifestes. Il n’apparaît pas non plus manifeste que l’urgence commanderait de faire droit à la requête de la recourante. Certes, une interdiction de vendre les « puffs » aura pour conséquence une diminution de son chiffre d'affaires. Toutefois, elle n'est pas empêchée de commercialiser d'autres produits du tabac et elle a allégué que cette interdiction n'impliquait pas la résiliation des contrats conclus avec des partenaires commerciaux hors du canton de Genève. En outre, elle ne fournit aucune donnée chiffrée sur la diminution prévisible de son chiffre d'affaires ni même une estimation des pertes prévisibles. Par ailleurs, en cas d'admission du recours, la période d'interdiction sera limitée à quelques mois et les ventes de « puffs » pourront aussitôt reprendre. L'ampleur de la perte prévisible du chiffres d'affaires, laquelle fait d'ailleurs partie du risque entrepreneurial, doit donc être relativisée pour ce motif également. Aussi, elle ne saurait primer l'intérêt public important à la préservation de la santé des administrés, en particulier celle des jeunes. Enfin, il n'est pas allégué, ni a fortiori démontré, que la recourante serait exposée à une faillite en raison de cette interdiction. Pour le surplus, la recourante allègue qu'elle a dû organiser le retrait immédiat des produits « Veev Now Ultra » offerts à la vente dans le canton de Genève et mettre en place un dispositif permettant de garantir que ces produits ne soient pas commercialisés. La mise en place de ces mesures impliquait de conduire plusieurs analyses juridiques, techniques et logistiques générant des coûts importants Or, outre le fait que la recourante ne fournit aucune estimation de ces éventuels coûts, il ne s'agit que des conséquences indirectes de la mise en œuvre de la législation cantonale. Ces supposés coûts ne sont donc pas pertinents pour déterminer si la recourante subit un préjudice difficilement réparable. Il ne se justifie dès lors pas de déroger au principe voulu par le législateur d’absence d’effet suspensif dans le cadre d’un contrôle abstrait des normes, ce qui conduit au rejet de la demande d’octroi de l’effet suspensif.</w:t>
      </w:r>
    </w:p>
    <w:p>
      <w:r>
        <w:rPr>
          <w:b/>
        </w:rPr>
        <w:t>E. 5</w:t>
      </w:r>
    </w:p>
    <w:p>
      <w:r>
        <w:t>Il sera statué sur les frais liés à la présente décision avec l’arrêt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