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A/3404/2020 vom 15. Dezember 2020</w:t>
      </w:r>
    </w:p>
    <w:p>
      <w:r>
        <w:t>GE Cour de justice, 2020-12-15, FR</w:t>
      </w:r>
    </w:p>
    <w:p>
      <w:r>
        <w:rPr>
          <w:b/>
        </w:rPr>
        <w:t xml:space="preserve">Quelle: </w:t>
      </w:r>
      <w:r>
        <w:t>https://mcp.opencaselaw.ch/entscheid/ge_gerichte_A_3404_2020</w:t>
      </w:r>
    </w:p>
    <w:p>
      <w:r>
        <w:t>FR: GE_GERICHTE A/3404/2020 du 15 décembre 2020</w:t>
      </w:r>
    </w:p>
    <w:p>
      <w:r>
        <w:t>IT: GE_GERICHTE A/3404/2020 del 15 dicembre 2020</w:t>
      </w:r>
    </w:p>
    <w:p>
      <w:pPr>
        <w:pStyle w:val="Heading2"/>
      </w:pPr>
      <w:r>
        <w:t>Volltext</w:t>
      </w:r>
    </w:p>
    <w:p>
      <w:r>
        <w:t>Genève Cour de justice (Cour de droit public) Chambre administrative 15.12.2020 A/3404/2020</w:t>
      </w:r>
    </w:p>
    <w:p>
      <w:r>
        <w:t>A/3404/2020 ATA/1296/2020 du 15.12.2020 ( PROC ) , REJETE En fait En droit RÉPUBLIQUE ET CANTON DE GENÈVE POUVOIR JUDICIAIRE A/3404/2020 - PROC ATA/ 1296/2020 COUR DE JUSTICE Chambre administrative Arrêt du 15 décembre 2020 dans la cause Madame A______ représentée par Mes Romain Jordan et Thomas Barth, avocats contre DÉPARTEMENT DE L'INSTRUCTION PUBLIQUE, DE LA FORMATION ET DE LA JEUNESSE et COUR DE JUSTICE - CHAMBRE ADMINISTRATIVE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Madame  A______,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Mme A______, directrice d'établissement primaire à Genève, que son cahier des charges modifié prendrait effet au 1 er janvier 2017. 6) Par acte du 30 décembre 2016, Mme A______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Mme A______ ont défini trois dossiers « pilote », dont la présente cause ne faisait pas partie,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2'423.- pour l'ensemble de la procédure devant la chambre de céans, les recourants perdaient de vue que, de jurisprudence constante, ladite indemnité ne constituait qu'une participation aux honoraires d'avocat. Le montant de CHF 300.- tenait compte en particulier de l'acte de recours par lequel les recourants avaient repris les arguments précédemment développés par les mêmes mandataires devant la chambre constitutionnelle dans le cadre du contrôle abstrait de l'art. 59 LIP ayant donné lieu à l' ACST/6/2016 ainsi que leurs écritures dans les causes pilote. La procédure était restée suspendue de février 2017 à juillet 2020, ce qui n'avait nécessité aucun travail de la part des mandataires dans les causes non pilote, et que les recourants avaient obtenu gain de cause du fait de l'abrogation, par le Grand Conseil, de l'art. 59 LIP, ce qui avait rendu les recours sans objet. Il ne se justifiait pas non plus d'octroyer une indemnité d'un montant supérieur, au regard des différentes causes non-pilote, dont l'objet était strictement identique. Aucun émolument n'était mis à la charge des recourants pour la procédure devant la chambre de céans. 19) a. Le 23 octobre 2020, les trente-six directrices et directeurs ont formé réclamation contre les indemnités précitées. b. Mme A______ a conclu « sous suite de frais et dépens, à ce que celle-ci soit fixée à CHF 2'423.- toutes taxes comprises ». Elle avait obtenu gain de cause dans l'arrêt du 22 septembre 2020. Elle 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la recourante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à la recourante, avec la mention qu'il ne serait pas prolongé, celle-ci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B______ et de Monsieur C______ le 7 juin 2019 de 8h30 à 11h35 et de 2h10 pour Madame D______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La recourante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à la recourante,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la recourante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 l'acte de recours par lequel la recourante avait repris les arguments précédemment développés par ses mandataires devant la chambre constitutionnelle dans le cadre du contrôle abstrait de l'art. 59 LIP ayant donné lieu à l' ACST/6/2016 précité ainsi que leurs écritures dans les causes pilote. La procédure était restée suspendue de février 2017 à juillet 2020, ce qui n'avait nécessité aucun travail de la part de ses mandataires, et que la recourante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 La décision contenait ainsi une motivation suffisante au vu des exigences jurisprudentielles. Le grief est infondé. 5) La recourante conteste le montant de l'indemnité. a. Elle 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de la recourante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à la demande des recourants.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la recourante a obtenu gain de cause. Comme l'a mentionné l'arrêt querellé, la recourante a obtenu ce qu'elle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à la recourante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Madame A______ 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de la recourante,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