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A/3403/2011 vom 7. Dezember 2011</w:t>
      </w:r>
    </w:p>
    <w:p>
      <w:r>
        <w:t>GE Cour de justice, 2011-12-07, FR</w:t>
      </w:r>
    </w:p>
    <w:p>
      <w:r>
        <w:rPr>
          <w:b/>
        </w:rPr>
        <w:t xml:space="preserve">Quelle: </w:t>
      </w:r>
      <w:r>
        <w:t>https://mcp.opencaselaw.ch/entscheid/ge_gerichte_A_3403_2011</w:t>
      </w:r>
    </w:p>
    <w:p>
      <w:r>
        <w:t>FR: GE_GERICHTE A/3403/2011 du 7 décembre 2011</w:t>
      </w:r>
    </w:p>
    <w:p>
      <w:r>
        <w:t>IT: GE_GERICHTE A/3403/2011 del 7 dicembre 2011</w:t>
      </w:r>
    </w:p>
    <w:p>
      <w:pPr>
        <w:pStyle w:val="Heading2"/>
      </w:pPr>
      <w:r>
        <w:t>Erwägungen</w:t>
      </w:r>
    </w:p>
    <w:p>
      <w:r>
        <w:rPr>
          <w:b/>
        </w:rPr>
        <w:t>E. 8</w:t>
      </w:r>
    </w:p>
    <w:p>
      <w:r>
        <w:t>Au vu de la nature du litige, il n'y a pas lieu de percevoir un émolument (cf. art. 69 al. 1bis LAI). PAR CES MOTIFS, LA CHAMBRE DES ASSURANCES SOCIALES : Statuant A la forme : Déclare le recours recevable. Au fond : Rejette le recours dans le sens des considérants. Dit qu'il n'est pas perçu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