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A/3403/2010 vom 11. November 2010</w:t>
      </w:r>
    </w:p>
    <w:p>
      <w:r>
        <w:t>GE Cour de justice, 2010-11-11, FR</w:t>
      </w:r>
    </w:p>
    <w:p>
      <w:r>
        <w:rPr>
          <w:b/>
        </w:rPr>
        <w:t xml:space="preserve">Quelle: </w:t>
      </w:r>
      <w:r>
        <w:t>https://mcp.opencaselaw.ch/entscheid/ge_gerichte_A_3403_2010</w:t>
      </w:r>
    </w:p>
    <w:p>
      <w:r>
        <w:t>FR: GE_GERICHTE A/3403/2010 du 11 novembre 2010</w:t>
      </w:r>
    </w:p>
    <w:p>
      <w:r>
        <w:t>IT: GE_GERICHTE A/3403/2010 del 11 novembre 2010</w:t>
      </w:r>
    </w:p>
    <w:p>
      <w:pPr>
        <w:pStyle w:val="Heading2"/>
      </w:pPr>
      <w:r>
        <w:t>Regeste</w:t>
      </w:r>
    </w:p>
    <w:p>
      <w:r>
        <w:t>Avis de saisie. Réquisition de continuer la poursuite. | L'autorité administrative a établi qu'elle avait notifié au débiteur sa décision de mainlevée et qu'il n'avait pas exercé le recours à sa disposition. | LP.79.1 ; 88.1 ; 89 ; LPGA.49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xxxx48 M et 10 xxxx49 L. Siégeant : Mme Ariane WEYENETH, présidente ; MM. Denis MATHEY, juge assesseur, et Pascal JUNOD, juge assesseur suppléant.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