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A/3402/2014 vom 5. August 2014</w:t>
      </w:r>
    </w:p>
    <w:p>
      <w:r>
        <w:t>GE Cour de justice, 2014-08-05, FR</w:t>
      </w:r>
    </w:p>
    <w:p>
      <w:r>
        <w:rPr>
          <w:b/>
        </w:rPr>
        <w:t xml:space="preserve">Quelle: </w:t>
      </w:r>
      <w:r>
        <w:t>https://mcp.opencaselaw.ch/entscheid/ge_gerichte_A_3402_2014</w:t>
      </w:r>
    </w:p>
    <w:p>
      <w:r>
        <w:t>FR: GE_GERICHTE A/3402/2014 du 5 août 2014</w:t>
      </w:r>
    </w:p>
    <w:p>
      <w:r>
        <w:t>IT: GE_GERICHTE A/3402/2014 del 5 agosto 2014</w:t>
      </w:r>
    </w:p>
    <w:p>
      <w:pPr>
        <w:pStyle w:val="Heading2"/>
      </w:pPr>
      <w:r>
        <w:t>Regeste</w:t>
      </w:r>
    </w:p>
    <w:p>
      <w:r>
        <w:t>ERTISE | LP.155; ORFI 9.1; ORFI.9.2; ORFI.99.1</w:t>
      </w:r>
    </w:p>
    <w:p>
      <w:pPr>
        <w:pStyle w:val="Heading2"/>
      </w:pPr>
      <w:r>
        <w:t>Erwägungen</w:t>
      </w:r>
    </w:p>
    <w:p>
      <w:r>
        <w:rPr>
          <w:b/>
        </w:rPr>
        <w:t>E. 1.1</w:t>
      </w:r>
    </w:p>
    <w:p>
      <w:r>
        <w:t>Dans le cadre d'une poursuite en réalisation de gage, et en application de l'art. 97 al. 1 LP, applicable par renvoi de l'art. 155 LP, l'Office procède à l'estimation des biens immobiliers saisis, cela à la suite du dépôt de la réquisition de vente (art. 99 al. 1 ORFI; arrêt du Tribunal fédéral 5A_854/2010 du 3 mai 2011, consid. 3.2; Gilliéron, Commentaire de la loi sur la poursuite pour dettes et la faillite, n. 174 ad art. 140 LP; Foëx, in CR-LP, n. 17 ad art. 155 LP). Selon l'art. 9 al. 1 ORFI, l'estimation doit déterminer la valeur vénale présumée de l'immeuble et de ses accessoires, sans égard au montant de la taxe cadastrale ou de la taxe de l'assurance contre l'incendie. Cela étant, en application de l'art. 9 al. 2 ORFI et dans le délai de plainte contre une saisie (art. 17 al. 2 LP), chacun des intéressés a le droit d'exiger, en s'adressant à l'autorité de surveillance et moyennant avance des frais, qu'une nouvelle estimation soit faite par des experts (art. 99 al. 2 ORFI; Foëx, op. cit., n. 19 ad art. 155 LP). Il s'agit là d'un droit inconditionnel (arrêt du Tribunal fédéral 7B.163/2005 du 19 décembre 2005, consid. 1).</w:t>
      </w:r>
    </w:p>
    <w:p>
      <w:r>
        <w:rPr>
          <w:b/>
        </w:rPr>
        <w:t>E. 1.2</w:t>
      </w:r>
    </w:p>
    <w:p>
      <w:r>
        <w:t>En l'espèce, après avoir eu connaissance du résultat de l'expertise réalisée par l'architecte mandaté par l'Office, la poursuivie a requis de la Chambre de surveillance, dans les délai et forme prescrits par la loi, qu'une nouvelle estimation de la valeur vénale du bien immobilier gagé soit effectuée par un expert. Elle a en outre payé en temps utile l'avance de frais fixée par ordonnance du 11 novembre 2014 faisant suite à sa requête. Cette demande de nouvelle expertise est dès lors recevable.</w:t>
      </w:r>
    </w:p>
    <w:p>
      <w:r>
        <w:rPr>
          <w:b/>
        </w:rPr>
        <w:t>E. 2</w:t>
      </w:r>
    </w:p>
    <w:p>
      <w:r>
        <w:t>2.1 La valeur d'estimation d'un bien immobilier doit être fixée en fonction du produit prévisible de sa vente aux enchères forcées (de Gottrau, in CR-LP,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Dans le cas d'espèce, il y a lieu de constater que les deux experts officiels, l'un mandaté par l'Office et le second par la Chambre de céans, prima facie de compétence égale, ont abouti à un résultat relativement similaire puisque l'écart séparant les valeurs d'estimation qu'ils ont retenues n'est que d'environ 2.2%. L'expertise privée réalisée par D______ SA, dont les compétences ne sont pas connues de la Chambre de surveillance, aboutit en revanche à un résultat supérieur d'environ 13,6% à la plus élevée des deux estimations résultant des expertises ordonnées par les autorités de poursuite, soit l'expertise B______ : il en résulte que ses conclusions ne pourront servir de fondement à l'estimation de la valeur vénale de l'immeuble mais tout au plus être prises en considération à titre indicatif dans le cadre de l'examen des expertises P______ et B______. Comme le relève à cet égard la poursuivie, ces expertises se distinguent notamment par la valeur attribuée au terrain, soit 1'500 fr. par m2 pour l'expertise P______ et 1'600 fr. par m2 pour l'expertise B______. La Chambre de céans se ralliera à cet égard à l'expertise B______, dans la mesure où d'une part elle est plus récente que l'expertise P______, l'expert étant ainsi mieux à même de tenir compte des fluctuations des prix de l'immobilier, et où d'autre part elle est plus proche du chiffre retenu par D______ SA, quand bien même ce dernier, fondé apparemment sur des offres et des transactions observées sur le marché de gré à gré, ne peut être sans autre transposé à l'estimation d'une valeur vénale dans le cadre d'une réalisation forcée. La Chambre de surveillance retiendra également l'expertise B______ pour ce qui est de la valeur des constructions, l'appréciation de l'expert à cet égard se rapprochant, notamment s'agissant du taux de vétusté, de celle de D______ SA. La valeur d'estimation de l'immeuble sera donc fixée à 10'940'000 fr., ainsi qu'il résulte de l'expertise B______.</w:t>
      </w:r>
    </w:p>
    <w:p>
      <w:r>
        <w:rPr>
          <w:b/>
        </w:rPr>
        <w:t>E. 3</w:t>
      </w:r>
    </w:p>
    <w:p>
      <w:r>
        <w:t>Le second expert a arrêté ses honoraires à 1'650 fr., montant qui paraît conforme aux tarifs usuellement pratiqués dans la branche. Sa note d'honoraires du 30 décembre 2014 peut donc être approuvée. La nouvelle expertise ayant été requise par la débitrice poursuivie, son coût restera à la charge de cette dernière (art. 9 al. 1 1 ère phr. ORFI), étant précisé qu'elle en a d'ores et déjà fait l'avance. * * * * * PAR CES MOTIFS, La Chambre de surveillance : A la forme : Déclare recevable la demande de nouvelle expertise formée le 7 novembre 2014 par Mme K______ dans le cadre de la poursuite en réalisation de gage immobilier n o 13 xxxx34 N. Au fond : Fixe à 10'940'000 fr. la valeur de réalisation estimée de la parcelle n° xx23 feuille x5 de la commune de Z______. Fixe à 1'650 fr. les frais de la nouvelle expertise établie par M. B______. Met ces frais à la charge de Mme K______ et les compense avec l'avance de même montant qu'elle a fournie. Siégeant : Monsieur Patrick CHENAUX, président; Monsieur Philipp GANZONI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