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A/3400/2011 vom 29. März 2012</w:t>
      </w:r>
    </w:p>
    <w:p>
      <w:r>
        <w:t>GE Cour de justice, 2012-03-29, FR</w:t>
      </w:r>
    </w:p>
    <w:p>
      <w:r>
        <w:rPr>
          <w:b/>
        </w:rPr>
        <w:t xml:space="preserve">Quelle: </w:t>
      </w:r>
      <w:r>
        <w:t>https://mcp.opencaselaw.ch/entscheid/ge_gerichte_A_3400_2011</w:t>
      </w:r>
    </w:p>
    <w:p>
      <w:r>
        <w:t>FR: GE_GERICHTE A/3400/2011 du 29 mars 2012</w:t>
      </w:r>
    </w:p>
    <w:p>
      <w:r>
        <w:t>IT: GE_GERICHTE A/3400/2011 del 29 marzo 2012</w:t>
      </w:r>
    </w:p>
    <w:p>
      <w:pPr>
        <w:pStyle w:val="Heading2"/>
      </w:pPr>
      <w:r>
        <w:t>Volltext</w:t>
      </w:r>
    </w:p>
    <w:p>
      <w:r>
        <w:t>Genève Cour de justice (Cour de droit public) Chambre des assurances sociales 29.03.2012 A/3400/2011</w:t>
      </w:r>
    </w:p>
    <w:p>
      <w:r>
        <w:t>A/3400/2011 ATAS/449/2012 du 29.03.2012 ( LPP ) , PARTAGE LPP En fait En droit RÉPUBLIQUE ET CANTON DE GENÈVE POUVOIR JUDICIAIRE A/3400/2011 ATAS/449/2012 COUR DE JUSTICE Chambre des assurances sociales Arrêt du 29 mars 2012 3ème Chambre En la cause Monsieur R__________, domicilié à Chêne-Bourg comparant avec élection de domicile en l’étude de Me Cédric DURUZ Madame S__________, domiciliée à Crozet, France comparant avec élection de domicile en l’étude de Me Doris LEUENBERGER demandeurs contre CREDIT SUISSE, FONDATION DE LIBRE PASSAGE 2 ème PILIER, case postale 4700, 8401 Winterthur CEH CAISSE DE PREVOYANCE DU PERSONNEL DES ETABLISSEMENTS PUBLICS MEDICAUX DU CANTON DE GENEVE, sise rue des Noirettes 14, 1227 Carouge défenderesses EN FAIT Par jugement du 16 juin 2011, la 19ème chambre du Tribunal de première instance a statué sur la question du partage des avoirs de prévoyance de Madame S__________, née en 1956, et Monsieur R__________, né en 1955. Ceux-ci s’étaient mariés en date du 3 décembre 1982. Leur divorce avait été prononcé par le Tribunal de grande instance de Bourg-en-Bresse (France) le 30 novembre 2006. Au chiffre 2 du dispositif de son jugement, le Tribunal de première instance de Genève a ordonné le partage par moitié des avoirs de prévoyance professionnelle acquis par chacun des époux durant le mariage, soit du 3 décembre 1982 au 30 novembre 2006. Ce jugement a été transmis d'office à la Cour de céans le 7 octobre 2011 pour exécution. La Cour de céans a demandé aux parties de lui indiquer le(s) nom(s) de leur(s) institution(s) de prévoyance, puis aux dites institutions de lui communiquer les montants des avoirs LPP acquis par les intéressés durant le mariage. S'agissant du demandeur, il est apparu, après consultation du rassemblement de ses comptes individuels : - qu'au moment du mariage et jusqu’en 1984, il a travaillé pour l’entreprise X__________, sans toutefois cotiser au 2 ème pilier (cf. courrier de l’employeur du 8 février 2012) ; - que le demandeur s’est ensuite mis à son compte ; - qu’à compter de 1995, il a travaillé pour Y__________ et a été affilié jusqu’au 31 octobre 2011 à la CAISSE DE PRÉVOYANCE DU PERSONNEL DES ÉTABLISSEMENTS PUBLICS MÉDICAUX DU CANTON DE GENÈVE (CEH), auprès de laquelle il a accumulé un avoir qui s’élevait, en date du 30 novembre 2006, à 103'115 fr. 65, étant précisé que le demandeur a retiré en date du 20 août 1998 un montant de 33'298 fr. 10 et, en date du 14 novembre 2003, un montant de 25'814 fr. 90 dans le cadre de l’encouragement à la propriété (cf. courrier de la CEH du 22 décembre 2011). Quant à la demanderesse, il s'est avéré, après consultation du rassemblement de ses comptes individuels : - qu’elle a travaillé pour l’entreprise Z__________ puis pour la société XA__________ et enfin pour l’entreprise de son mari, sans cotiser au 2ème pilier ; - qu’à compter de 1994, elle a travaillé pour la société XB__________ et a alors été affiliée à LA BALOISE, qui a ensuite transféré son avoir à la fondation institution supplétive puis à SWISSLIFE (explications données lors de l’audience de comparution personnelle du 15 mars 2012) ; - que de janvier 1998 à juillet 2000, la demanderesse a travaillé pour la société XC__________ SA et a été affiliée à la FONDATION DE PRÉVOYANCE DE LA MÉTALLURGIE DU BÂTIMENT (FPMB), laquelle a également transmis son avoir à la FONDATION INSTITUTION SUPPLÉTIVE (cf. courrier de la FPMB du 20 décembre 2011), qui l’a transmis à son tour à SWISSLIFE (cf. courrier de la fondation supplétive du 20 janvier 2012) ; - qu’en 2000 et 2001, la demanderesse a travaillé pour la société XD__________ et a été affiliée à la FONDATION COLLECTIVE LPP DE L’ELVIA VIE (cf. décompte du 26 avril 2001), reprise par ALLIANZ, qui a transféré l’avoir de l’intéressée à SWISSLIFE (cf. décompte du 11 mars 2002); - qu’en effet, à compter de 2001, la demanderesse a été employée par XE__________ SA et affiliée au FONDS DE PRÉVOYANCE EN FAVEUR DU PERSONNEL DE XE__________ SA ET DES ENTREPRISES AFFILIÉES (contrat 67498 ; c/o SWISSLIFE) auprès duquel l’avoir accumulé s’élevait, en date du 30 novembre 2006, à 45'050 fr. (cf. courrier du 11 octobre 2011) étant précisé qu’en juin 2002, 21'350 fr. 55 ont été retirés au titre d’encouragement à l’acquisition d’un bien immobilier (cf. courrier de la fondation du 12 juin 2002) ; - que le 6 octobre 2008, l’intégralité de l’avoir de la demanderesse - c'est-à-dire y compris celui accumulé après novembre 2006 - a été transféré sur un compte de libre passage ouvert auprès de la FONDATION DE LIBRE PASSAGE DU CRÉDIT SUISSE pour un montant de 64'591 fr. 80 (compte n° __________ ; cf. décompte du CS du 10 février 2011 et leur courrier du 16 décembre 2011 ; cf. également courrier de SwissLife du 5 décembre 2011), étant précisé qu’en octobre 2011, la demanderesse a encore retiré un montant de 45'942 fr. dans le cadre de l’encouragement à la propriété du logement (cf. courrier du CS du 16 décembre 2011), de sorte qu’il ne restait plus sur ce compte en date du 16 décembre 2011 qu’un montant de 21'305 fr. 37 ; - qu’en 2008, soit postérieurement à l’entrée en force du divorce, la demanderesse a travaillé pour XF__________ SA et a été affiliée à AXA WINTERTHUR, laquelle n’a reçu aucun avoir de la part d’une autre fondation (cf. courrier du 22 juillet 2009) et a transféré la prestation de la demanderesse (10'847 fr. 40 au 30 juin 2009) à la FONDATION RENDITA, à Zürich (cf. courrier d’AXA du 16 décembre 2011), laquelle l’a transféré à son tour à PAX SCHWEIZ LEBENSVERSICHERUNGSGESELLSCHAFT (cf. courrier de Rendita du 10 janvier 2012). Une audience de comparution personnelle s’est tenue en date du 15 mars 2012.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3 décembre 1982, date du mariage, d’autre part le 30 novembre 2006, date à laquelle le jugement de divorce est devenu exécutoire. 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230 ). Selon les documents produits, la prestation acquise pendant le mariage par le demandeur s'élève à 162'228 fr. 65 (103'115.65 + 33'298.10 + 25'814.90) tandis que celle acquise par la demanderesse atteint la somme de 66'400 fr. 55 (45'050 +21'350.55), les intérêts ayant déjà été calculés par les institutions de prévoyance défenderesses. Ainsi le demandeur doit à son ex-épouse le montant de 81'114 fr. 35 (162'228.65 : 2) alors qu'elle lui doit celui de 33'200 fr. 30 (66'400.55 : 2), de sorte que c’est en définitive le demandeur qui doit à son ex-épouse le montant de 47'914 fr. 05 (81'114.35 - 33'200.30).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LA CHAMBRE DES ASSURANCES SOCIALES : Invite la CAISSE DE PRÉVOYANCE DU PERSONNEL DES ÉTABLISSEMENTS PUBLICS MÉDICAUX DU CANTON DE GENÈVE (CEH) à transférer, du compte de Monsieur R__________ , la somme de 47'914 fr. 05 à la FONDATION DE LIBRE PASSAGE DU CRÉDIT SUISSE en faveur de Madame S__________, ainsi que des intérêts compensatoires au sens des considérants, dès le 1 er décembre 2006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