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A/3398/2012 vom 4. März 2014</w:t>
      </w:r>
    </w:p>
    <w:p>
      <w:r>
        <w:t>GE Cour de justice, 2014-03-04, FR</w:t>
      </w:r>
    </w:p>
    <w:p>
      <w:r>
        <w:rPr>
          <w:b/>
        </w:rPr>
        <w:t xml:space="preserve">Quelle: </w:t>
      </w:r>
      <w:r>
        <w:t>https://mcp.opencaselaw.ch/entscheid/ge_gerichte_A_3398_2012</w:t>
      </w:r>
    </w:p>
    <w:p>
      <w:r>
        <w:t>FR: GE_GERICHTE A/3398/2012 du 4 mars 2014</w:t>
      </w:r>
    </w:p>
    <w:p>
      <w:r>
        <w:t>IT: GE_GERICHTE A/3398/2012 del 4 marzo 2014</w:t>
      </w:r>
    </w:p>
    <w:p>
      <w:pPr>
        <w:pStyle w:val="Heading2"/>
      </w:pPr>
      <w:r>
        <w:t>Erwägungen</w:t>
      </w:r>
    </w:p>
    <w:p>
      <w:r>
        <w:rPr>
          <w:b/>
        </w:rPr>
        <w:t>E. 2</w:t>
      </w:r>
    </w:p>
    <w:p>
      <w:r>
        <w:t>a la même valeur. C’est donc à juste titre que l’intimé s’est référé à la valeur officielle du bien ressortant de l’extrait du registre foncier. Compte tenu des éléments qui précèdent, la mise en œuvre d’une expertise immobilière s’avère superflue. d) S’agissant du taux de conversion applicable pour le calcul de la fortune immobilière, on peut se référer aux directives concernant les prestations complémentaires à l’AVS et à l’AI (DPC) de l’OFFICE FEDERAL DES ASSURANCES SOCIALES (OFAS). Le chiffre 2087.1 des DPC dans leur teneur au 1 er janvier 2007 prévoit que pour les rentes et pensions versées en devises d’Etats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le cours déterminant du début de l’année correspondante. La Commission administrative des communautés européennes pour la sécurité sociale de travailleurs migrants a fixé les taux de conversion suivants pour l’euro : 1 fr. 46 en janvier 2003 (Journal officiel de l’Union européenne 2003/C 27/02) ; 1 fr. 56 en avril 2004 (Journal officiel de l’Union européenne 2004/C 36/10) ; 1 fr. 54 en janvier 2005 et janvier 2006 (Journal officiel de l’Union européenne 2004/C 271/04 et 2005/C 277/07) ; 1 fr. 58 en janvier 2007 (Journal officiel de l’Union européenne 2007/C 19/08) ; 1 fr. 67 en janvier 2008 (Journal officiel de l’Union européenne 2007/C 265/06) ; 1 fr. 51 en janvier 2009 et janvier 2010 (Journal officiel de l’Union européenne 2008/C 282/05 et 2010/C 300/3) ; 1 fr. 34 en janvier 2011 (Journal officiel de l’Union européenne 2010/C 300/04) ; 1 fr. 22 en janvier 2012 (Journal officiel de l’Union européenne 2011/C 330/6). Ces taux aboutissent à une fortune immobilière légèrement inférieure à celle prise en compte dans les calculs de l’intimé, soit Année Valeur en euros Taux de conversion Valeur en francs 2003 98'484 € 48 1.46 143'787 fr. 34 2004 98'484 € 48 1.56 153'635 fr. 78 2005 98'484 € 48 1.54 151'666 fr. 09 2006 98'484 € 48 1.54 151'666 fr. 09 2007 98'484 € 48 1.58 155'605 fr. 47 2008 98'484 € 48 1.67 164'469 fr. 08 2009 98'484 € 48 1.51 148'711 fr. 56 2010 98'484 € 48 1.51 148'711 fr. 56 2011 98'484 € 48 1.34 131'969 fr. 20 2012 98'484 € 48 1.22 120'151 fr. 06 Quant au calcul du produit du bien immobilier, soit 4.5 % de la valeur vénale, il se situe dans les limites tracées par la doctrine et ne prête pas flanc à la critique. Il convient cependant de l’adapter à la valeur vénale corrigée selon les taux de conversion officiels. 14.    Eu égard à ce qui précède, le recours est très partiellement admis dans le sens où l’intimé devra procéder à un nouveau calcul des prestations complémentaires dès le 1 er janvier 2003 en tenant compte des prononcés de l’OAI, s’agissant du gain potentiel imputé à l’épouse du recourant. ![endif]&gt;![if&gt; C’est en revanche à juste titre que l’intimé s’est fondé sur une valeur vénale du bien immobilier de 98'484 € 48, bien que la conversion de cette fortune en francs suisses doive s’opérer en fonction des taux rappelés ci-dessus. Il y aura également lieu de déduire les frais d’entretien, en collaboration avec le recourant. Le recourant, qui obtient très partiellement gain de cause, a droit à des dépens qu’il convient de fixer à 300 fr. (art. 61 let. g LPGA). Pour le surplus, la procédure est gratuite (art. 61 let. a LPGA). PAR CES MOTIFS, LA CHAMBRE DES ASSURANCES SOCIALES : Statuant A la forme : 1.        Déclare le recours recevable.![endif]&gt;![if&gt; Au fond : 2.        L’admet partiellement.![endif]&gt;![if&gt; 3.        Annule les décisions du 30 juillet et du 12 octobre 2012.![endif]&gt;![if&gt; 4.        Renvoie la cause à l’intimé pour nouvelle décision au sens des considérants.![endif]&gt;![if&gt; 5.        Condamne l’intimé à verser au recourant une indemnité de 300 fr. à titre de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