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A/3395/2012 vom 14. Mai 2013</w:t>
      </w:r>
    </w:p>
    <w:p>
      <w:r>
        <w:t>GE Cour de justice, 2013-05-14, FR</w:t>
      </w:r>
    </w:p>
    <w:p>
      <w:r>
        <w:rPr>
          <w:b/>
        </w:rPr>
        <w:t xml:space="preserve">Quelle: </w:t>
      </w:r>
      <w:r>
        <w:t>https://mcp.opencaselaw.ch/entscheid/ge_gerichte_A_3395_2012</w:t>
      </w:r>
    </w:p>
    <w:p>
      <w:r>
        <w:t>FR: GE_GERICHTE A/3395/2012 du 14 mai 2013</w:t>
      </w:r>
    </w:p>
    <w:p>
      <w:r>
        <w:t>IT: GE_GERICHTE A/3395/2012 del 14 maggio 2013</w:t>
      </w:r>
    </w:p>
    <w:p>
      <w:pPr>
        <w:pStyle w:val="Heading2"/>
      </w:pPr>
      <w:r>
        <w:t>Regeste</w:t>
      </w:r>
    </w:p>
    <w:p>
      <w:r>
        <w:t>ALLOCATION FAMILIALE; ALLOCATION POUR ENFANT; DOMICILE À L'ÉTRANGER; CONVENTION EN MATIÈRE D'ASSURANCES SOCIALES; DIRECTIVE(EN GÉNÉRAL) ; PÉREMPTION; DÉLAI RELATIF; ERREUR; AUTORITÉ ADMINISTRATIVE | Depuis le 1er avril 2010, les ressortissants du Kosovo domiciliés en Suisse n'ont plus droit à des allocations familiales pour leurs enfants domiciliés à l'étranger, le Conseil fédéral ayant décidé en décembre 2009 que la convention de sécurité sociale avec l'ex-Yougoslavie ne s'appliquait plus pour le Kosovo dès cette date. En s'aperçevant que le requérant percevait à tort des allocations familiales lors de son contrôle annuel de février 2012 et en réclamant la restitution des prestations le 15 mars 2012, l'intimé a agi dans le délai d'un an de l'art. 25 al. 2 LPGA. En effet, au vu du contrôle annuel des employeurs effectués par échantillonage, on ne saurait lui reprocher de n'avoir pas vu avant février 2012 que l'intéressé, bien qu'enregistré sous le code affecté à la République de Serbie, était en réalité de nationalité kosovare. | LAFam 4; OAFam 7; LPGA 25 al. 2</w:t>
      </w:r>
    </w:p>
    <w:p>
      <w:pPr>
        <w:pStyle w:val="Heading2"/>
      </w:pPr>
      <w:r>
        <w:t>Erwägungen</w:t>
      </w:r>
    </w:p>
    <w:p>
      <w:r>
        <w:rPr>
          <w:b/>
        </w:rPr>
        <w:t>E. 1</w:t>
      </w:r>
    </w:p>
    <w:p>
      <w:r>
        <w:t>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w:t>
      </w:r>
    </w:p>
    <w:p>
      <w:r>
        <w:rPr>
          <w:b/>
        </w:rPr>
        <w:t>E. 2</w:t>
      </w:r>
    </w:p>
    <w:p>
      <w:r>
        <w:t>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L'avis de droit de l'OFAS requis par le SCAF a la même teneur que le bulletin n° 326 précité. 9.        En l'espèce, le SCAF a réclamé le remboursement des allocations versées à tort d'avril à décembre 2010, au motif que les ressortissants du Kosovo n'y avaient plus droit depuis le 1 er avril 2010, étant au surplus précisé que son employeur était affilié auprès d'une autre caisse depuis janvier 2011. ![endif]&gt;![if&gt; 10.    L'intéressé fait valoir l'arrêt rendu par le Tribunal fédéral administratif le 7 mars 2011 et allègue être également de nationalité serbe, ce qui lui permettrait d'être mis au bénéfice de la convention 1962.![endif]&gt;![if&gt; 11.    Il résulte cependant de ce qui précède que l'intéressé, ressortissant du Kosovo, ne peut plus prétendre à des allocations familiales pour ses enfants domiciliés au Kosovo depuis le 1 er avril 2010. ![endif]&gt;![if&gt; Il ne peut en effet justifier de la nationalité serbe au sens des directives de l'OFAS, son passeport serbe comportant l'annotation "Koordinaciona Uprava", de sorte que la convention du 8 juin 1962 ne lui est pas applicable. Force est ainsi de constater que les allocations à lui versées d'avril à décembre 2010 l'ont été à tort. 12.    Aux termes de l'art. 25 al. 1, 1ère phrase, LPGA, les prestations indûment touchées doivent être restituées. Selon la jurisprudence, cela implique que soient réunies les conditions d'une reconsidération (art. 53 al. 2 LPGA) ou d'une révision procédurale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![endif]&gt;![if&gt; 13.    Dans le cas d'espèce, l'intéressé a perçu des allocations familiales pour ses enfants au-delà du 1 er avril 2010. Qu'il ait réalisé ou non qu'il n'y avait plus droit relève de l'examen de la bonne foi, à effectuer ultérieurement dans le cadre de la demande de remise, le cas échéant. Il y a en effet lieu de rappeler à cet égard que la restitution de prestations vise à rétablir une situation conforme au droit, sans égard à l'éventuelle bonne foi de l'intéressé. Les conditions pour exiger la restitution des prestations indûment perçues sont ainsi remplies. ![endif]&gt;![if&gt; 14.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En effet, si l'on plaçait le moment de la connaissance du dommage à la date du versement indu, cela rendrait souvent illusoire la possibilité pour une administration de réclamer le remboursement de prestations versées à tort en cas de faute de sa part (ATF 110 V 304 ).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Elle vise un double but, à savoir obliger l'administration à faire preuve de diligence, d'une part, et protéger l'assuré au cas où celle-ci manquerait à ce devoir de diligence, d'autre part. 15.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5).![endif]&gt;![if&gt; 16.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![endif]&gt;![if&gt; 17.    En l'espèce, le SCAF a expliqué qu'il avait dans un premier temps, vu l'entrée en vigueur de la LAFam et vu le bulletin de l'OFAS du 28 janvier 2010, supprimé automatiquement au 31 décembre 2008 le droit des bénéficiaires dont le code de domicile des enfants correspondait à un Etat pour lequel il n'y avait pas de convention de sécurité sociale. Le droit de l'intéressé n'a pas été concerné, puisqu'il avait été enregistré sous le code domicile affecté à la République de Serbie. Le SCAF considère qu'il ne peut lui être reproché de ne pas s'être rendu compte de ce que l'intéressé n'avait plus droit aux allocations familiales pour ses enfants à compter du 1 er avril 2010, au motif qu'il gère des milliers de dossiers d'allocations familiales. Il ne lui était en effet pas possible de procéder aux contrôles idoines, afin de mettre à jour tous les dossiers avant le 1 er avril 2010.![endif]&gt;![if&gt; Il va de soi que le point de départ du délai de l'art. 25 al. 2 LPGA ne doit pas courir à compter du moment où le SCAF a reçu l'information, soit le 28 janvier 2010. On peut en revanche se demander quand il aurait dû, dans un second temps, par exemple à l'occasion d'un contrôle, se rendre compte, en faisant preuve de l'attention requise, que les allocations avaient été versées à tort. Il s'avère à cet égard que l'OFAS n'a pas imposé aux caisses d'allocations familiales l'obligation de pratiquer un contrôle systématique annuel des dossiers. En l'occurrence, le SCAF s'efforce de procéder par échantillonnage à un contrôle d'employeurs chaque année. Il est ainsi vraisemblable qu'aucun contrôle concret de l'employeur de l'intéressé précisément n'a été effectué en 2011. On ne saurait dès lors reprocher au SCAF de n'avoir pas vu avant février 2012 que l'intéressé, bien qu'enregistré sous le code affecté à la République de Serbie, était en réalité de nationalité kosovare. Il faut en conséquence considérer que le début du délai coïncide avec le moment où le SCAF, dans un deuxième temps, s'est aperçu de son erreur, soit en février 2012. Aussi, en agissant le 15 mars 2012, le SCAF a-t-il respecté le délai d'un an. La décision de restitution ne peut en conséquence être que confirmée. 18.    La Cour de céans attire toutefois l'attention de l'intéressé sur le fait que la restitution ne peut être exigée s'il était de bonne foi et si elle le mettait dans une situation financière difficile (art. 25 al. 1 LPGA). ![endif]&gt;![if&gt; Or, dans ses écritures du 3 avril 2013, le SCAF a d'ores et déjà admis que la condition de la bonne foi était réalisée. Le dossier est dès lors renvoyé au SCAF pour examen de la situation financière difficile et nouvelle décision quant à la remise de l'obligation de rembourser la somme de 3'600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