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A/3389/2023 vom 10. Oktober 2024</w:t>
      </w:r>
    </w:p>
    <w:p>
      <w:r>
        <w:t>GE Cour de justice, 2024-10-10, FR</w:t>
      </w:r>
    </w:p>
    <w:p>
      <w:r>
        <w:rPr>
          <w:b/>
        </w:rPr>
        <w:t xml:space="preserve">Quelle: </w:t>
      </w:r>
      <w:r>
        <w:t>https://mcp.opencaselaw.ch/entscheid/ge_gerichte_A_3389_2023</w:t>
      </w:r>
    </w:p>
    <w:p>
      <w:r>
        <w:t>FR: GE_GERICHTE A/3389/2023 du 10 octobre 2024</w:t>
      </w:r>
    </w:p>
    <w:p>
      <w:r>
        <w:t>IT: GE_GERICHTE A/3389/2023 del 10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w:t>
      </w:r>
    </w:p>
    <w:p>
      <w:r>
        <w:rPr>
          <w:b/>
        </w:rPr>
        <w:t>E. 2.2</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droit aux prestations est reconnu à compter de mai 2022, de sorte que le nouveau droit s’applique.</w:t>
      </w:r>
    </w:p>
    <w:p>
      <w:r>
        <w:rPr>
          <w:b/>
        </w:rPr>
        <w:t>E. 3</w:t>
      </w:r>
    </w:p>
    <w:p>
      <w:r>
        <w:t>Le recourant est un ressortissant du Portugal, Etat partie à l'Accord du 21 juin 1999 entre la Confédération suisse, d'une part, et la Communauté européenne et ses Etats membres, d'autre part, sur la libre circulation des personnes (ALCP; RS 0.142.112.681). L’assuré a exercé des activités salariées en Suisse et s’est vu reconnaître le droit à une rente de l'assurance-invalidité suisse. Le litige relève ainsi de la coordination européenne des systèmes nationaux de sécurité sociale et se limite à la question de savoir si l’intimé était fondé à statuer avant de procéder au calcul comparatif indispensable à la fixation du montant de la rente allouée au recourant.</w:t>
      </w:r>
    </w:p>
    <w:p>
      <w:r>
        <w:rPr>
          <w:b/>
        </w:rPr>
        <w:t>E. 4.1</w:t>
      </w:r>
    </w:p>
    <w:p>
      <w:r>
        <w:t>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(RO 2004 121; ci-après: le règlement n° 1408/71). Une décision n°1/2012 du Comité mixte du 31 mars 2012 (RO 2012 2345) a actualisé le contenu de l'Annexe II à l'ALCP avec effet au 1 er avril 2012. Il a été prévu, en particulier, que les Parties appliqueraient désormais entre elles le Règlement (CE) n°883/2004 du Parlement européen et du Conseil du 29 avril 2004 portant sur la coordination des systèmes de sécurité sociale, modifié par le Règlement (CE) n°988/2009 du Parlement européen et du Conseil du 16 septembre 2009 (ci-après: le règlement n°883/2004; RS 0.831.109.268.1). Le droit du recourant à une rente d'invalidité est en l'espèce né le 1 er mai 2022, après l'entrée en vigueur du règlement n°883/2004. Ratione temporis , le cas doit ainsi être tranché à la lumière de ce règlement.</w:t>
      </w:r>
    </w:p>
    <w:p>
      <w:r>
        <w:rPr>
          <w:b/>
        </w:rPr>
        <w:t>E. 4.2</w:t>
      </w:r>
    </w:p>
    <w:p>
      <w:r>
        <w:t>Au préalable, il convient de rappeler qu'avec l'entrée en vigueur simultanée de l'ALCP et du règlement n°1408/71 le 1 er juin 2002, la coordination des régimes de sécurité sociale entre la Suisse et le Portugal était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de sécurité sociale du 11 septembre 1975 entre la Suisse et le Portugal (ci-après: la Convention entre la Suisse et le Portugal; RS 0.831.109.654.1). Le second système était celui dans lequel l'invalide qui a cotisé successivement dans les deux Etats perçoit une rente partielle de chacun des pays concernés calculée au pro rata des périodes d'assurance accomplies.</w:t>
      </w:r>
    </w:p>
    <w:p>
      <w:r>
        <w:rPr>
          <w:b/>
        </w:rPr>
        <w:t>E. 4.3</w:t>
      </w:r>
    </w:p>
    <w:p>
      <w:r>
        <w:t>Sous le titre « relation entre le présent règlement et d'autres instruments de coordination », l'art. 8 par. 1 du règlement n°883/2004 prévoit :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 » Auparavant, sous le régime du règlement n°1408/71 qui contenait une disposition similaire, le Tribunal fédéral avait retenu que cela n’excluait pas qu'un assuré fût mis au bénéfice d'une disposition plus favorable d'une convention bilatérale de sécurité sociale, pour autant qu'il eût exercé son droit à la libre circulation avant l'entrée en vigueur de l'ALCP (ATF 142 V 112 ). Ainsi, s’agissant d’un ressortissant portugais résidant en Suisse depuis 1989, au bénéfice d’une rente de l'assurance-invalidité suisse depuis janvier 2009, le Tribunal fédéral a jugé que les périodes de cotisations accomplies par l'assuré au Portugal avant son arrivée en Suisse devaient être prises en compte dans le calcul de sa rente pour autant que cette solution lui fût plus favorable. Notre Haute Cour s’est fondée sur l'ATF 133 V 329 selon lequel il y avait lieu de reprendre le principe de l'application des dispositions plus favorables d'une convention bilatérale de sécurité sociale, tel que dégagé par la jurisprudence de la Cour de justice des Communautés européennes (CJCE; devenue entre-temps la Cour de justice de l'Union européenne [CJUE]; arrêt du 7 février 1991, Rönfeldt, C-227/89, Rec. 1991, p. I-323, précisé par l'arrêt du 9 novembre 1995, Thévenon, C-475/93, Rec. 1995, p. I-3813). Selon la CJCE, l'application du règlement n°1408/71 ne devait pas conduire à la perte des avantages de sécurité sociale résultant de conventions de sécurité sociale en vigueur entre deux ou plusieurs Etats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Kaske , C-277/99, Rec. 2002 p. I-1261, point 27). Le principe selon lequel l'application de la réglementation européenne de coordination ne devait pas entraîner la diminution (ou la perte) des avantages de sécurité sociale prévus par des conventions de sécurité sociale a été développé à partir de l'arrêt Petroni (arrêt de la CJCE du 24 octobre 1975, Petroni , 24/75 Rec. p. 1149; cf. arrêt Rönfeldt précité, point 26). Dans l'ATF 142 V 112 , le Tribunal fédéral a relevé que l'art. 8 par. 1 du règlement n°883/2004 reprend le principe de l'application des conventions de sécurité sociale plus favorables (cf. art. 7 par. 2 let. c du règlement n°1408/71), que les dispositions plus favorables de ces conventions doivent figurer à l'annexe II du règlement pour être maintenues en vigueur et que l'annexe II ne contient aucune disposition concernant les relations entre la Suisse et le Portugal. Il a laissé ouverte la question de savoir si la jurisprudence de l'ATF 133 V 329 (cf. consid. 4.3 supra ) et la jurisprudence européenne sur laquelle elle se fondait demeuraient applicables sous le régime du règlement n°883/2004. Le Tribunal fédéral a finalement répondu par l’affirmative à cette question dans un arrêt 9C_198/2022 du 30 mai 2023 consid. 5.3.3. Dans cet arrêt, le Tribunal fédéral, constatant que ni l’office intimé, ni la juridiction cantonale n'avaient examiné le point de savoir si le système de la Convention entre la Suisse et le Portugal était plus favorable à l’assuré que le système du règlement n°883/2004 par le biais d’un calcul comparatif fondé sur des informations dont l'obtention ne soulevait guère de difficultés pratiques pour les autorités compétentes suisses –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art. 84 du règlement n° 1408/71; art. 76ss du règlement n°883/2004; art. 2ss du Règlement [CE] n°987/2009 du Parlement européen et du Conseil du 16 septembre 2009 fixant les modalités d'application du règlement n°883/2004 portant sur la coordination des systèmes de sécurité sociale [RS 0.831.109.268.11] ; ATF 142 V 112 consid. 4.5) – a annulé la décision administrative litigieuse et renvoyé la cause à l'administration pour qu'elle complète l'instruction sur ce point et rende une nouvelle décision. Il convient de procéder de même en l’occurrence, la caisse de compensation n’ayant pas mené à son terme l’instruction permettant la fixation de la rente d’invalidité. Il lui appartenait en effet d’effectuer la comparaison avant de rendre la décision litigieuse. A cet égard, on déplorera, à l’instar du recourant, que la caisse de compensation n’ait jugé bon d’initier la procédure destinée à recueillir les renseignements nécessaires qu’en juillet 2024, soit près de neuf mois après avoir statué, violant ainsi manifestement le principe de célérité applicable en matière d’assurances sociales.</w:t>
      </w:r>
    </w:p>
    <w:p>
      <w:r>
        <w:rPr>
          <w:b/>
        </w:rPr>
        <w:t>E. 5</w:t>
      </w:r>
    </w:p>
    <w:p>
      <w:r>
        <w:t>Eu égard aux considérations qui précèdent, le recours est admis, la décision litigieuse annulée et la cause renvoyée à l’intimé pour instruction complémentaire et nouvelle décision.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