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A/3389/2017 vom 22. August 2017</w:t>
      </w:r>
    </w:p>
    <w:p>
      <w:r>
        <w:t>GE Cour de justice, 2017-08-22, FR</w:t>
      </w:r>
    </w:p>
    <w:p>
      <w:r>
        <w:rPr>
          <w:b/>
        </w:rPr>
        <w:t xml:space="preserve">Quelle: </w:t>
      </w:r>
      <w:r>
        <w:t>https://mcp.opencaselaw.ch/entscheid/ge_gerichte_A_3389_2017</w:t>
      </w:r>
    </w:p>
    <w:p>
      <w:r>
        <w:t>FR: GE_GERICHTE A/3389/2017 du 22 août 2017</w:t>
      </w:r>
    </w:p>
    <w:p>
      <w:r>
        <w:t>IT: GE_GERICHTE A/3389/2017 del 22 agosto 2017</w:t>
      </w:r>
    </w:p>
    <w:p>
      <w:pPr>
        <w:pStyle w:val="Heading2"/>
      </w:pPr>
      <w:r>
        <w:t>Erwägungen</w:t>
      </w:r>
    </w:p>
    <w:p>
      <w:r>
        <w:rPr>
          <w:b/>
        </w:rPr>
        <w:t>E. 1</w:t>
      </w:r>
    </w:p>
    <w:p>
      <w:r>
        <w:t>ère section dans la cause Madame A______ contre UNIVERSITÉ DE GENÈVE EN FAIT 1) Par décision du 23 mai 2017, l’Université de Genève (ci-après : l’université) a informé Madame A______ que sa demande d’immatriculation à l’université pour le semestre d’automne 2017-2018 était refusée.![endif]&gt;![if&gt; Cette décision pouvait faire l’objet d’une opposition, dans un délai de trente jours dès sa notification, auprès de la direction du service des admissions de l’université. 2) Ultérieurement, Mme A______ et la responsable « admission &amp; suivi des étudiants » de l’université ont correspondu par courrier électronique.![endif]&gt;![if&gt; 3) Le 25 juillet 2017, cette responsable a adressé à Mme A______ un courrier électronique au terme duquel l’université ne pouvait pas entrer en matière sur sa demande d’octroi d’une dérogation exceptionnelle tenant compte de sa dyslexie afin de l’admettre.![endif]&gt;![if&gt; Il y était indiqué que « cette décision sur opposition peut faire l’objet d’un recours dans un délai de 30 jours dès sa notification auprès de la Chambre administrative de la Cour de justice (ci-après : la chambre administrative) (…) ». 4) Par courrier daté du 14 août 2017, mis à la poste le 16 août 2017 et reçu par la chambre administrative le lendemain, Mme A______ a formé recours contre la « décision » précitée, demandant de bénéficier d’une dérogation pour être admise à la faculté des sciences.![endif]&gt;![if&gt; 5) Ce recours a été transmis, pour information, à l’autorité intimée.![endif]&gt;![if&gt;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1.2).![endif]&gt;![if&gt; 3) a. Les décisions sont des mesures individuelles et concrètes prises par l’autorité dans les cas d’espèce fondées sur le droit public fédéral, cantonal et communal (art. 4 al. 1 LPA).![endif]&gt;![if&gt; Elles doivent être désignées comme telles, motivées et signées, et indiquer les voies et délais de recours. En cas de communication électronique au sens de l’article 18A LPA, une signature manuscrite n’est pas exigée (art. 46 al. 1 LPA). Une notification irrégulière ne peut entraîner aucun préjudice pour les parties (art. 47 LPA). b.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 c. 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formation. 4) En l'espèce, la « décision » n’a pas été notifiée en la forme écrite, qui présuppose en principe la signature olographe ( ATA/9/2014 du 7  janvier  2014  consid. 3a), mais par courrier électronique, dont l’utilisation n’est pas autorisée.![endif]&gt;![if&gt; Elle est de ce seul fait si profondément viciée que sa nullité ne peut qu'être constatée par la chambre de céans. Au vu de ce qui précède, la nullité de la « décision » sur opposition rendue le 25 juillet 2017 par l’université de Genève sera constatée et le recours sera déclaré irrecevable. 5) Compte tenu des circonstances particulières du cas d’espèce, il ne sera pas perçu d'émolument (art. 87 al. 1 LPA),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