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A/3386/2016 vom 19. April 2017</w:t>
      </w:r>
    </w:p>
    <w:p>
      <w:r>
        <w:t>GE Cour de justice, 2017-04-19, FR</w:t>
      </w:r>
    </w:p>
    <w:p>
      <w:r>
        <w:rPr>
          <w:b/>
        </w:rPr>
        <w:t xml:space="preserve">Quelle: </w:t>
      </w:r>
      <w:r>
        <w:t>https://mcp.opencaselaw.ch/entscheid/ge_gerichte_A_3386_2016</w:t>
      </w:r>
    </w:p>
    <w:p>
      <w:r>
        <w:t>FR: GE_GERICHTE A/3386/2016 du 19 avril 2017</w:t>
      </w:r>
    </w:p>
    <w:p>
      <w:r>
        <w:t>IT: GE_GERICHTE A/3386/2016 del 19 aprile 2017</w:t>
      </w:r>
    </w:p>
    <w:p>
      <w:pPr>
        <w:pStyle w:val="Heading2"/>
      </w:pPr>
      <w:r>
        <w:t>Erwägungen</w:t>
      </w:r>
    </w:p>
    <w:p>
      <w:r>
        <w:rPr>
          <w:b/>
        </w:rPr>
        <w:t>E. 4</w:t>
      </w:r>
    </w:p>
    <w:p>
      <w:r>
        <w:t>mai 2016, l’absence de changement dans les diagnostics et plus particulièrement sur le plan dépressif. Les nombreuses discordances et contradictions constatées, lesquelles ont été consignées dans le rapport d’expertise, n’étaient pas le fait d’une pathologie. Le Dr F______ a conclu que le discours de l’assuré, théâtral et démonstratif, manquait de fiabilité et que ses dires devaient être pris avec prudence. S’il n’y avait pas d’arguments clairs en faveur d’une simulation, il existait une majoration importante des symptômes et tout portait à croire que dans la réalité, les ressources de l’assuré étaient supérieures à ce qu’il montrait. c. Concernant le diagnostic de personnalité anxieuse [évitante] (F60.6) retenu par le Dr C______, l’expert a exposé que si le développement psycho-affectif de l’assuré avait possiblement été marqué par la pauvreté, en ce sens qu’il n’avait pas toujours mangé à sa faim, qu’il avait froid en hiver et qu’il existait une promiscuité dans le contexte d’une fratrie nombreuse, ces éléments ne pouvaient pas être vérifiés. Il n’y avait pas d’arguments clairs pour qu’ils aient été à l’origine d’une perturbation du processus de mise en place de la personnalité. Il ne ressortait pas que l’assuré ait présenté une souffrance psychique de manière continue ou continuellement répétitive depuis la fin de l’enfance ou l’adolescence. Il se décrivait, avant l’atteinte à la santé, comme une personne très sociable, contente de vivre, avec son travail et ses activités de loisir. Il n’avait pas fait de formation professionnelle et avait été capable de s’intégrer dans le monde du travail. Si l’expert ignorait ce qui s’était passé sur le plan professionnel en Tunisie, la période passée en Suisse montrait une continuité dans les emplois successifs que l’assuré avait occupés jusqu’en 2008. Il n’y avait pas d’indices évidents en faveur de problèmes relationnels (quérulence, rigidité intense, conflictualité) ni de comportements dysfonctionnels pendant les périodes d’activité. L’assuré n’avait jamais eu d’ennuis avec la justice, n’avait pas fait l’objet de mesure de protection (tutelle, curatelle), n’avait pas eu recours à des substances psychoactives (alcool, stupéfiants). Sur le plan sentimental, tout portait à croire qu’il n’avait pas été capable de s’engager dans une relation de confiance et de réciprocité à long terme, avec l’échec de deux mariages. Ainsi, sur la base des renseignements connus, les critères généraux étaient non vérifiés ou insuffisamment vérifiés pour atteindre le seuil diagnostique d’un trouble de la personnalité. De surcroît, il n’apparaissait pas que l’assuré ait présenté, de tout temps, une anxiété, des soucis et une tension, ou qu’il se soit constamment perçu, depuis la fin de l’enfance ou l’adolescence, comme inférieur aux autres. Il ne ressortait pas non plus qu’il ait évité des activités sociales ou professionnelles impliquant des contacts avec autrui de peur d’être critiqué ou rejeté, ou encore que son mode de vie se soit rétréci en raison d’un besoin de sécurité, étant rappelé qu’il avait eu plusieurs emplois et avait passé le permis de conduire pour être chauffeur de bus. Enfin, le Dr C______ n’avait pas expliqué pour quelles raisons particulières le diagnostic de personnalité anxieuse [évitante] avait été posé et n’avait pas mentionné les critères diagnostiques formels. Partant, l’expert se distançait des conclusions du psychiatre traitant concernant ce premier diagnostic. S’agissant de celui de dysthymie (F34.1), également retenu par le Dr C______, l’expert a expliqué que ce trouble était difficilement évaluable en raison de la démonstrativité et de la majoration des plaintes de l’assuré. Néanmoins, l’humeur était modérément déprimée, avec un discours négatif et une diminution de l’élan vital. En revanche, il n’y avait pas de tristesse, de ruminations ou d’abattement, et la mimique, la gestuelle et la modulation de la voix étaient conservées. La diminution de l’élan vital affichée par l’assuré contrastait, à certains moments, avec son regard vif et scrutateur. Le déroulement du quotidien avait tendance à montrer une réduction des activités au jour le jour et le fait que l’assuré n’assumait pas les tâches ménagères. Néanmoins, ces aspects étaient invérifiables. Il en allait de même des troubles du sommeil et de la diminution de la libido, rapportés par l’assuré. Les difficultés de concentration relatées et affichées contrastaient, à d’autres moments, avec la restitution de renseignements précis. L’assuré mentionnait beaucoup de pleurs, mais cela n’avait pas été objectivé au cours de l’entretien. Le retrait social était difficilement évaluable, en ce sens qu’il existait des contradictions à ce sujet. La réduction de la confiance en soi était crédible au vu de la perte de toute activité professionnelle depuis plus de sept ans, tout comme le sentiment de perte d’espoir compte tenu de la déchéance professionnelle et du fait que sa femme l’avait quitté au mois de février 2016. Ainsi, plusieurs critères du diagnostic de dysthymie étaient vérifiés et celui-ci pouvait effectivement être posé. Concernant l’anxiété généralisée (F41.l), l’expert n’avait pas constaté d’angoisse ni de tension lors de son entretien du 4 mai 2016, bien que l’assuré eût affirmé être constamment angoissé et tendu. Cela était possiblement le fait de la médication qui avait été mise en place. Le Dr F______ n’avait pas non plus constaté de symptômes accompagnateurs de l’anxiété, que ce soit de type neurovégétatif (transpiration, tremblements, sécheresse buccale) ou d’autres symptômes (difficulté respiratoire, difficultés de déglutition, fébrilité, réactions de sursaut, difficultés de concentration, irritabilité). Ainsi, les critères A et B n’étaient pas vérifiés et le diagnostic d’anxiété généralisée ne devait pas être porté actuellement. Quant au diagnostic de phobie sociale (F40.1), l’assuré indiquait ne pas avoir confiance en autrui et ne pas avoir envie de parler aux gens. L’exploration qui avait été menée auprès de l’assuré le 4 mai 2016 ne révélait pas de crainte spécifique d’être exposé à l’observation attentive d’autrui, de manger ou de parler en public, ou de rencontrer des connaissances en public, ni le fait que dans de telles situations, l’assuré commencerait à rougir ou à trembler, qu’il aurait un besoin urgent ou une peur d’uriner ou d’aller à la selle, ou encore qu’il aurait peur de vomir. En fait, dans le cas de l’assuré, il ne s’agissait pas d’une phobie sociale au sens de la CIM-10, mais possiblement d’une tendance au retrait social qui avait lieu dans le contexte de la dysthymie qu’il présentait. Ainsi, l’expert s’écartait également de ce diagnostic retenu par le psychiatre traitant. d. La dysthymie dont souffrait actuellement l’assuré n’était pas à l’origine d’une incapacité de travail et il n’y avait pas de limitations fonctionnelles psychiques en lien avec cette affection. Les consultations espacées (une fois par mois) et l’absence d’hospitalisation en milieu psychiatrique avaient tendance à confirmer l’absence d’affection grave. La capacité de travail, sur un plan médical, théorique, était entière, mais il était peu probable que l’assuré reprenne un processus professionnel, en l’absence de toute motivation. Il était régressé (régression passivité, dépendance) : il ne s’agissait pas d’une maladie psychiatrique, mais d’une attitude qu’il avait adoptée dans sa vie. Concernant la période passée, il n’y avait pas d’arguments clairs en faveur d’une incapacité de travail, même partielle. Ainsi, dans son rapport du 4 juin 2014, le Dr C______ avait mentionné les symptômes en lien avec la dysthymie (tristesse, anhédonie, perte de l’élan vital, diminution de l’appétit, insomnie). Or, cette dernière ne pouvait pas être à l’origine d’une réduction de la capacité de travail. De ce même document, il ne ressortait pas non plus que l’anxiété soit à l’origine d’une réduction de la capacité de travail dans le sens où elle envahirait le psychisme de l’assuré en induisant une perturbation des processus de pensée. Les éléments de pronostic favorable étaient constitués par l’absence d’arguments clairs en faveur de la présence d’un trouble de la personnalité, l’absence de problématique de consommation de substances psychoactives, l’absence d’hérédopathie ainsi que la recherche de soins spécialisés de travail (psychiatriques, psychopharmacologiques). Les éléments de pronostic défavorable étaient constitués par la présence d’une affection chronique (dysthymie) et par la perte de l’intégration sur le plan professionnel. Globalement, le pronostic devait être qualifié d’incertain. Le Dr C______ avait indiqué que le pronostic pouvait être satisfaisant quant à la gestion de la vie quotidienne, alors qu’au cours de l’examen, l’assuré avait rapporté une inaptitude totale à subvenir aux tâches du quotidien. Cet aspect était néanmoins invérifiable. Le traitement psychopharmacologique avait tendance à être excessif, et plus particulièrement en ce qui concernait la prescription de carbamazépine (Tégrétol®). Des mesures de réadaptation seraient bénéfiques mais, au vu du manque de toute motivation en ce sens de la part de l’assuré, elles seraient irrémédiablement vouées à l’échec. L’assuré ne montrait aucune motivation pour une psychothérapie. Par contre, il était à même de suivre un traitement psychiatrique. En conclusion, la capacité de travail était entière dans toutes les activités du milieu économique primaire correspondant aux capacités et au niveau d’instruction de l’assuré, et cela depuis toujours. 8.        Dans un avis du 21 juin 2016, le Dr E______ a considéré que l’expertise du Dr F______ était convaincante et que la capacité de travail de l’assuré n’était pas réduite par la dysthymie présentée depuis 2011. ![endif]&gt;![if&gt; 9.        En date du 22 juin 2016, l’OAI a informé l’assuré de son intention de rejeter sa demande de prestations, en l’absence de toute atteinte à la santé ayant des répercussions sur sa capacité de gain.![endif]&gt;![if&gt; 10.    Par lettres des 5 juillet et 8 août 2016, l’assuré a contesté ce projet de décision.![endif]&gt;![if&gt; Il a joint un rapport du Dr C______ du 4 août 2016, lequel a maintenu les diagnostics précédemment retenus, soit ceux de trouble d’anxiété généralisé (F41.1), de phobie sociale (F40.1), de dysthymie (F34.1) et de personnalité évitante (F60.6). Le psychiatre traitant a reproché à l’expert de ne pas avoir cherché à comprendre le fonctionnement psychologique de l’assuré, d’avoir basé ses conclusions sur un seul entretien et de ne pas s’être renseigné de plus près auprès des thérapeutes de l’intéressé. Selon lui, l’évaluation clinique de l’expert était insuffisante, tant sur le fond que sur la forme, et en contradiction avec les diagnostics basés sur un suivi de plusieurs années. Il a rappelé que le Dr D______ avait également certifié d’une incapacité de travail à partir du 14 décembre 2010. Vu le développement du rapport, le peu de temps consacré à la compréhension du fonctionnement psychologique de l’assuré et le manque d’instruments d’évaluation standardisé, l’expertise ne lui paraissait pas fiable. Une nouvelle expertise, complétée par des tests neuropsychologiques afin de tester les fonctions cognitives, lui paraissait nécessaire. Il a en outre souligné que le traitement introduit était adapté à la pathologie de l’assuré. 11.    Le 5 septembre 2016, le Dr E______ a considéré que les derniers éléments médicaux produits par l’assuré ne modifiaient pas les conclusions de son précédent rapport.![endif]&gt;![if&gt; 12.    Par décision du 7 septembre 2016, l’OAI a rejeté la demande de prestations de l’assuré et maintenu que son atteinte à la santé n’était pas invalidante et n’avait aucune influence sur sa capacité de travail et de gain. Le courrier du Dr C______ n’apportait pas d’éléments susceptibles de modifier ces conclusions.![endif]&gt;![if&gt; 13.    Par acte du 6 octobre 2016, l’assuré, par l’intermédiaire de son conseil, a interjeté recours contre la décision précitée, concluant à son annulation et à l’octroi d’une rente entière. Subsidiairement, il a conclu à ce qu’une expertise judiciaire soit ordonnée. En substance, le recourant a contesté les conclusions du Dr F______ et s’est référé à l’avis du Dr C______ qui estimait nécessaire la mise en œuvre d’une expertise judiciaire, complétée par des tests neuropsychologiques. Il a reproché à l’expert d’avoir retenu une capacité de travail entière dans l’activité habituelle de chauffeur professionnel, alors qu’il ne pouvait plus conduire en raison des nombreux médicaments qu’il prenait, et d’avoir considéré que ses facultés cognitives réelles étaient supérieures à ce qui était affiché, sans rechercher la cause des oublis et approximations inexplicables. ![endif]&gt;![if&gt; 14.    Dans sa réponse du 4 novembre 2016, l’intimé a conclu au rejet du recours et à la confirmation de la décision attaquée, soutenant que le Dr C______ ne faisait valoir aucun élément permettant de remettre en cause le bien-fondé des conclusions du rapport du Dr F______ qui avait une pleine valeur probante. ![endif]&gt;![if&gt; 15.    Invité par la chambre de céans à se déterminer sur les pièces et l’écriture de l’intimé, le recourant s’est référé à son acte de recours et aux documents produits.![endif]&gt;![if&gt; 16.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3).![endif]&gt;![if&gt; 3.        Le délai de recours est de 30 jours (art. 60 al. 1 LPGA). Interjeté dans la forme et le délai prévus par la loi, le recours est recevable, en vertu des art. 56ss LPGA.![endif]&gt;![if&gt; 4.        Le litige porte sur le droit du recourant à une rente d’invalidité et, singulièrement, sur le caractère invalidant de son état psychique.![endif]&gt;![if&gt;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w:t>
      </w:r>
    </w:p>
    <w:p>
      <w:r>
        <w:rPr>
          <w:b/>
        </w:rPr>
        <w:t>E. 5</w:t>
      </w:r>
    </w:p>
    <w:p>
      <w:r>
        <w:t>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9.        a. En l’espèce, l'intimé a nié le droit du recourant à une rente d'invalidité sur la base des conclusions du rapport du Dr F______ du 6 mai 2016.![endif]&gt;![if&gt; Il y a donc lieu d’examiner la valeur probante du rapport d’expertise précité. b. La chambre de céans constate que ce document, rendu en pleine connaissance du dossier, comporte des anamnèses familiale, professionnelle, psychosociale et psychiatrique détaillées. L’expert a précisément consigné les déclarations et plaintes du recourant, puis a relevé les nombreuses discordances et contradictions qui en résultaient. Il a conclu à une majoration importante des symptômes et estimé que les ressources du recourant, qualifié de démonstratif et théâtral, étaient en réalité supérieures à ce qu’il prétendait. Les propos de l’intéressé manquaient donc de crédibilité et devaient être reçus avec prudence. Après avoir présenté le status psychiatrique de l’assuré, le Dr F______ a discuté chacun des diagnostics retenus avant lui par le Dr C______ et considéré que seul celui de dysthymie pouvait être confirmé. Il a notamment exposé que l’humeur était modérément déprimée, avec un discours négatif et une diminution de l’élan vital. En revanche, le fonctionnement intellectuel était dans la norme, il n’y avait pas de labilité émotionnelle, de tristesse, d’abattement, de ralentissement idéomoteur, d’anxiété à l’entretien, de tension ou d’irritabilité. La vigilance, l’attention, la concentration et la mémoire étaient sans particularité. Le discours spontané, bien que pauvre, avait lieu normalement et était relativement structuré. La conscience était claire, sans aucun élément maniaque ou hypomaniaque. Le recourant consultait son psychiatre une seule fois par mois et n’avait jamais été hospitalisé en milieu psychiatrique, ce qui parlait en défaveur d’une affection grave. L’expert a ainsi clairement expliqué les raisons pour lesquelles il considérait que la dysthymie, présente depuis 2011, n’avait selon lui aucune répercussion sur la capacité de travail. Il a également motivé son appréciation et développé les éléments l’amenant à écarter les autres diagnostics retenus par le Dr C______. Partant, le rapport d’expertise du 6 mai 2016 répond aux réquisits jurisprudentiels permettant de lui reconnaître une pleine valeur probante. c. Pour sa part, le recourant conteste les conclusions du Dr F______ et se réfère à l’appréciation de son psychiatre traitant. La chambre de céans constate cependant que le rapport du Dr C______ du 4 juin 2014 ne fait état d'aucun élément objectivement vérifiable qui aurait été ignoré dans le cadre de l'expertise ni d'élément objectif précis qui justifierait, d'un point de vue médical, d'envisager la situation selon une perspective différente ou, à tout le moins, la mise en œuvre d'un complément d'instruction (cf. arrêt du Tribunal fédéral 9C_618/2014 du 9 janvier 2015 consid. 6.2.3). Quant au rapport du 4 août 2016, il ne contient pas la moindre opinion apte à mettre sérieusement en doute la pertinence des déductions de l'expert. Le Dr C______ s’est en effet limité à confirmer ses diagnostics et à considérer que l’unique évaluation contraire de l’expert était insuffisante pour contredire les conclusions posées par des spécialistes qui suivent le recourant de longue date. C’est le lieu de rappeler que la durée de l'entretien entre l'expert et l'assuré n'est pas un critère reconnu par la jurisprudence pour avoir une influence déterminante sur la qualité et la valeur probante d'un rapport d'expertise (cf. arrêt du Tribunal fédéral des assurances I 719/06 du 4 juillet 2007 consid. 2.2), de sorte qu’il ne peut qu’en être de même du nombre d’entretien. Le psychiatre traitant a ensuite reproché au Dr F______ de ne pas s’être renseigné davantage auprès des thérapeutes et de ne pas avoir cherché à comprendre le fonctionnement psychologique, relevant un manque d’instruments d’évaluation standardisés. Or, c’est oublier qu’une évaluation psychiatrique comporte une importante marge d'appréciation pour l'exercice de laquelle les impressions directes que se fait l'expert de la personne soumise à l'examen psychiatrique sont essentielles (cf. arrêt du Tribunal fédéral 9C_203/2011 du 22 novembre 2011 consid. 4.3). De surcroît, le Dr F______ a pris contact avec le psychiatre traitant et a dûment motivé les diagnostics retenus ou écartés selon un système de classification reconnue. Enfin, la chambre de céans relèvera que l’appréciation du Dr C______ n’est nullement corroborée par le rapport du Dr D______ puisque ce dernier a estimé que l’incapacité de travail était temporaire et que le recourant pourrait à nouveau exercer sa profession (cf. rapport du 13 mai 2011). d. Le recourant fait grief à l’expert d’avoir retenu une capacité de travail entière dans l’activité habituelle de chauffeur professionnel, alors qu’il ne pourrait plus conduire en raison des nombreux médicaments qu’il prend, et d’avoir considéré que ses facultés cognitives réelles étaient supérieures à ce qui était affiché, sans rechercher la cause des oublis et approximations inexplicables. La chambre de céans rappellera que l’expert a dûment précisé les motifs qui l’ont conduit à douter des déclarations du recourant. Concernant l’aptitude à la conduite professionnelle, il est exact que le Dr F______ ne s’est pas prononcé sur les éventuels effets secondaires du traitement médicamenteux. Toutefois, un tel silence ne saurait être interprété comme un manquement, ce d’autant plus que l’expert a confirmé à réitérées reprises que le recourant ne présentait qu’une seule affection psychique qui n’engendrait aucune limitation fonctionnelle et a estimé que le traitement médicamenteux n’était pas adéquat au regard des pathologies retenues. 10.    Eu égard à tout ce qui précède, il y a lieu de reconnaître une pleine valeur probante à l’expertise du Dr F______, que les appréciations du Dr C______ ne sauraient remettre en question. ![endif]&gt;![if&gt; 11.   Partant, c’est à juste titre que l’intimé a rejeté la demande de prestations du recourant.![endif]&gt;![if&gt; 12.    Par conséquent, le recours sera rejeté.![endif]&gt;![if&gt;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