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A/3383/2015 vom 2. Februar 2016</w:t>
      </w:r>
    </w:p>
    <w:p>
      <w:r>
        <w:t>GE Cour de justice, 2016-02-02, FR</w:t>
      </w:r>
    </w:p>
    <w:p>
      <w:r>
        <w:rPr>
          <w:b/>
        </w:rPr>
        <w:t xml:space="preserve">Quelle: </w:t>
      </w:r>
      <w:r>
        <w:t>https://mcp.opencaselaw.ch/entscheid/ge_gerichte_A_3383_2015</w:t>
      </w:r>
    </w:p>
    <w:p>
      <w:r>
        <w:t>FR: GE_GERICHTE A/3383/2015 du 2 février 2016</w:t>
      </w:r>
    </w:p>
    <w:p>
      <w:r>
        <w:t>IT: GE_GERICHTE A/3383/2015 del 2 febbraio 2016</w:t>
      </w:r>
    </w:p>
    <w:p>
      <w:pPr>
        <w:pStyle w:val="Heading2"/>
      </w:pPr>
      <w:r>
        <w:t>Erwägungen</w:t>
      </w:r>
    </w:p>
    <w:p>
      <w:r>
        <w:rPr>
          <w:b/>
        </w:rPr>
        <w:t>E. 1</w:t>
      </w:r>
    </w:p>
    <w:p>
      <w:r>
        <w:t>ère Chambre En la cause Madame A______, domiciliée au LIGNON recourante contre OFFICE DE L'ASSURANCE-INVALIDITÉ DU CANTON DE GENÈVE, sis rue des Gares 12, GENÈVE intimé EN FAIT 1.        Madame A______, née le ______ 1965, originaire du Kosovo, entrée en Suisse en mars 1997, mère de quatre enfants âgés de 23, 21, 19 et 17 ans, vivant encore tous au domicile familial, a déposé le 18 novembre 2014 une demande de prestations auprès de l’office de l’assurance-invalidité du canton de Genève (ci-après OAI). Elle allègue souffrir de fissures dans la colonne, de douleurs au dos et aux jambes, et de fortes migraines, depuis quelques années. ![endif]&gt;![if&gt; 2.        Son époux, Monsieur A______, est au bénéfice d’une rente entière d’invalidité depuis le 1 er août 2009.![endif]&gt;![if&gt; 3.        Le docteur B______, spécialiste FMH en neurologie, consulté par le docteur C______ du Centre médical de Vermont-Grand-Pré, a, par courrier du 16 septembre 2013, constaté que cette patiente « présente des maux de tête dont les caractéristiques évoquent des migraines sans aura. Il est possible qu’il existe également une composante de céphalées tensionnelles, toutefois moins marquées. L’examen neurologique est dans les limites de la norme et l’écho-Doppler des axes carotidiens, vertébraux et transcrâniens est sans anomalie, en particulier sans évidence de sténose serrée des axes à destinée cérébrale (cf. rapport ci-joint). Compte tenu de la fréquence modérée des migraines, j’ai proposé à l’assurée d’essayer la prise d’un comprimé de Maxalt lingual 10mg afin de voir si cela permet d’arrêter la crise. En cas d’augmentation de la fréquence des épisodes, un traitement de fond à base d’amitriptyline pourra être essayé (Saroten retard 25 mg le soir). Concernant les quelques lésions de la substance blanche visualisées à l’IRM cérébrale, celles-ci sont vraisemblablement à intégrer dans le cadre d’une maladie des petits vaisseaux débutante. Je vous propose de contrôler les divers facteurs de risques cardiovasculaires ».![endif]&gt;![if&gt; 4.        Dans un rapport du 19 décembre 2014, le Dr C______ a retenu les diagnostics de céphalées de tension versus migraine, discopathie L5-S1, fissure simple de l’anneau fibreux L5-S1 et coxarthrose gauche. Il n’a pas précisé le taux de la capacité de travail, relevant que l’assurée était femme au foyer, et a biffé la page pré-imprimée relative aux limitations fonctionnelles.![endif]&gt;![if&gt; 5.        Dans un avis du 8 juin 2015, le service médical régional AI (SMR) relève que :![endif]&gt;![if&gt; « sur le plan neurologique, l’assurée présente des crises de migraine deux à trois fois par mois. Cette atteinte n’est pas incapacitante, car non durable. Le Dr B______, neurologue, parle d’une symptomatologie modérée. Sur le plan rhumatologique, l’assurée présente des lombalgies sur des troubles dégénératifs débutants (discopathie) sans conflit disco-radiculaires et des coxalgies gauches sur conflit fémoro-acétabulaire. Selon le médecin traitant, le Dr C______, ses diagnostics ne sont pas incapacitants. Au total, cette assurée ne présente aucune atteinte incapacitante selon le Dr C______ qui ne décrit pas non plus de limitations fonctionnelles ». 6.        Le 26 juin 2015, l’OAI a transmis à l’assurée un projet de décision, aux termes duquel sa demande de prestations est rejetée.![endif]&gt;![if&gt; 7.        Par décision du 4 septembre 2015, l’OAI a confirmé son projet de décision.![endif]&gt;![if&gt; 8.        Par courrier du 16 septembre 2015 adressé à l’OAI, l’assurée a sollicité la reconsidération de ladite décision.![endif]&gt;![if&gt; 9.        L’OAI a transmis ce courrier à la chambre de céans le 24 septembre 2015 comme objet de sa compétence.![endif]&gt;![if&gt; 10.    La cause a été enregistrée sous le numéro A/3383/2015.![endif]&gt;![if&gt; 11.    Dans sa réponse du 10 novembre 2015, l’OAI a conclu au rejet du recours.![endif]&gt;![if&gt; 12.    Le 23 novembre 2015, l’assurée a transmis plusieurs documents médicaux à la chambre de céans, et signale que les troubles dans elle souffre « augmentent constamment ». Elle dit éprouver de la difficulté à se mouvoir sans aide, même dans l’appartement. Les migraines et les vertiges tendent également à augmenter de fréquence, ainsi que les douleurs de dos et de pieds qui s’aggravent.![endif]&gt;![if&gt; 13.    Les documents médicaux produits ont été communiqués au médecin du SMR, lequel, dans un avis du 4 décembre 2015, a considéré qu’ils ne mettaient en évidence aucune atteinte incapacitante, et a persisté dans ses conclusions du 8 juin 2015. Il relève que l’assurée n’a pas de suivi régulier. Le Dr C______, qu’elle a consulté entre le 30 août et le 25 septembre 2013, rapporte des céphalées de tension versus migraine, une coxarthrose gauche et lombalgie sur trouble dégénératif débutant (discopathie L5-S1), mais estime que ces atteintes ne sont pas incapacitantes. Le Dr B______, qui n’a été consulté qu’une fois en septembre 2013, retient des migraines sans aura dont la fréquence est modérée et pour lesquelles il ne propose pas d’emblée de traitement de fond, se contentant de recommander un traitement lors de crise. L’assurée a présenté une gastro-entérite en février 2015, pour laquelle elle a consulté le docteur D______ le 27 février 2015. Il s’agit d’une affection aigue qui entraîne habituellement un arrêt de travail d’un à deux jours et qui n’a aucune valeur incapacitante au sens de l’AI. L’échographie abdominale réalisée le 23 novembre 2015 est dans les limites de la normes, si ce n’est que le foie apparaît stéatosique, ce qui n’a pas d’incidence sur la capacité de travail. Les bilans sanguins effectués en 2013 et 2014 sont dans les normes, hormis une glycémie à 9,23, sans signification sur le plan AI.![endif]&gt;![if&gt; Dans sa duplique du 15 décembre 2015, l’OAI s’est fondé sur l’avis du SMR et a dès lors persisté dans ses conclusions. 14.    Interrogé par la chambre de céans, le Dr C______ a confirmé le 20 janvier 2016 qu’il n’avait fixé aucun taux d’activité, parce que l’assurée n’exerçait pas d’activité lucrative. Il a précisé que «  je ne peux me prononcer quant aux limitations fonctionnelles auxquelles elle se heurte, car ses capacités d’accomplir des tâches ménagères n’ont pas été évaluées. Je pense qu’il serait préférable de l’adresser à un médecin expert de l’AI pour un examen complémentaire ».![endif]&gt;![if&gt; 15.    Ce courrier a été transmis aux parties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3).![endif]&gt;![if&gt; 4.        Le délai de recours est de 30 jours (art. 60 al. 1 LPGA). Interjeté dans la forme et le délai prévus par la loi, le recours est recevable, en vertu des art. 56ss LPGA.![endif]&gt;![if&gt; 5.     Le litige porte sur le droit de l’assurée à une rente d’invalidité. ![endif]&gt;![if&gt;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soit la méthode générale de comparaison des revenus, la méthode mixte ou la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8.        En l’espèce, l’OAI a retenu que l’assurée, en bonne santé, n’aurait pas exercé d’activité lucrative. L’assurée n’allègue pas qu’elle aurait travaillé si elle avait été en bonne santé. Elle n’a au demeurant jamais exercé aucune activité lucrative en Suisse. C’est dès lors à bon droit que l’OAI lui a appliqué la méthode dite spécifique.![endif]&gt;![if&gt; 9.        Aux termes de l’art. 28a al. 2 LAI, « l'invalidité de l'assuré qui n'exerce pas d'activité lucrative et dont on ne peut raisonnablement exiger qu'il en entreprenne une est évaluée, en dérogation à l'art. 16 LPGA, en fonction de son incapacité à accomplir ses travaux habituels ».![endif]&gt;![if&gt; L’art. 27 RAI précise que « par travaux habituels des assurés travaillant dans le ménage, il faut entendre notamment l'activité usuelle dans le ménage, l'éducation des enfants ainsi que toute activité artistique ou d'utilité publique ».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L'administration procède ainsi à une enquête sur les activités ménagères et fixe l'empêchement dans chacune des activités habituelles conformément aux chiffres 3095ss de la circulaire concernant l'invalidité et l'impotence de l'assurance-invalidité.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10.    Pour satisfaire à l'obligation de réduire le dommage (voir ATF 129 V 463 consid. 4.2 ;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 du Tribunal fédéral I 257/04 du 17 mars 2005 ; arrêts du Tribunal fédéral D. I 308/04 et I 309/04 du 14 janvier 2005 ; I 681/02 S.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222).![endif]&gt;![if&gt; 11.    La jurisprudence ne pose pas de grandeur limite au-delà de laquelle l'aide des membres de la famille ne serait plus possible (arrêt 9C_716/2012 du 11 avril 2013 consid. 4.4). Elle pose comme critère que l'aide ne saurait constituer une charge excessive du seul fait qu'elle va au-delà du soutien que l'on peut attendre de manière habituelle sans atteinte à la santé (ATF 133 V 504 consid. 4.2 p. 509 s.; 130 V 97 consid. 3.3.3 p. 101 et les références).![endif]&gt;![if&gt; 12.    Dans le cadre de l'évaluation de l'invalidité dans les travaux habituels, l'aide des membres de la famille (en particulier celle des enfants) va au-delà de ce qu'on peut attendre de celles-ci, si la personne assurée n'est pas atteinte dans sa santé (arrêt du Tribunal fédéral I 681/02 S. du 11 août 2003 ; arrêt du Tribunal fédéral non publié I 407/92 C. du 8 novembre 1993).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222).![endif]&gt;![if&gt; 13.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16.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3.3).![endif]&gt;![if&gt; 17.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5a).![endif]&gt;![if&gt; 18.    La fixation de l'invalidité dans les travaux habituels ne peut toutefois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![endif]&gt;![if&gt; 19.    En l’espèce, le Dr C______ n’a certes ni fixé de taux d’incapacité de travail, ni indiqué de limitations fonctionnelles. Force est toutefois de constater qu’il n’a pas jugé nécessaire de le faire, partant de l’idée que sa patiente n’exerçait pas d’activité lucrative. Il a par ailleurs déclaré qu’il ne pouvait pas se prononcer sur les limitations fonctionnelles. ![endif]&gt;![if&gt; 20.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87).![endif]&gt;![if&gt; 21.    Force est ainsi de constater que le dossier n’est pas en état d’être jugé. Il se justifie, partant, de renvoyer le dossier à l’OAI pour instruction complémentaire. L’OAI devra procéder à une enquête ménagère, et rendre une nouvelle décision. ![endif]&gt;![if&gt; 22.    Le recours est par conséquent partiellement admis.![endif]&gt;![if&gt;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