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A/3374/2021 vom 18. Juli 2022</w:t>
      </w:r>
    </w:p>
    <w:p>
      <w:r>
        <w:t>GE Cour de justice, 2022-07-18, FR</w:t>
      </w:r>
    </w:p>
    <w:p>
      <w:r>
        <w:rPr>
          <w:b/>
        </w:rPr>
        <w:t xml:space="preserve">Quelle: </w:t>
      </w:r>
      <w:r>
        <w:t>https://mcp.opencaselaw.ch/entscheid/ge_gerichte_A_3374_2021</w:t>
      </w:r>
    </w:p>
    <w:p>
      <w:r>
        <w:t>FR: GE_GERICHTE A/3374/2021 du 18 juillet 2022</w:t>
      </w:r>
    </w:p>
    <w:p>
      <w:r>
        <w:t>IT: GE_GERICHTE A/3374/2021 del 18 luglio 2022</w:t>
      </w:r>
    </w:p>
    <w:p>
      <w:pPr>
        <w:pStyle w:val="Heading2"/>
      </w:pPr>
      <w:r>
        <w:t>Erwägungen</w:t>
      </w:r>
    </w:p>
    <w:p>
      <w:r>
        <w:rPr>
          <w:b/>
        </w:rPr>
        <w:t>E. 6</w:t>
      </w:r>
    </w:p>
    <w:p>
      <w:r>
        <w:t>![endif]&gt;![if&gt;</w:t>
      </w:r>
    </w:p>
    <w:p>
      <w:r>
        <w:rPr>
          <w:b/>
        </w:rPr>
        <w:t>E. 6.1</w:t>
      </w:r>
    </w:p>
    <w:p>
      <w:r>
        <w:t>En conclusion, c’est à bon droit que l’intimée a requis la restitution des indemnités de chômage versées en trop entre le 20 décembre 2020 et le 28 février 2021, compte tenu du fait que la recourante avait perçu, pendant la même période, des indemnités perte de gain maladie à 50%, ceci conformément à l’art. 28 al. 2 et 4 LACI, en relation avec l’art. 95 al. 1bis LACI (ATF 142 V 448 consid. 4.2 et 5.4 ; arrêt du Tribunal fédéral des assurances C 303/02 du 14 avril 2003 consid. 5.1 ; arrêt de la chambre des assurances sociales de la Cour de justice ATAS/1028/2019 du 11 novembre 2019 consid. 5).![endif]&gt;![if&gt;</w:t>
      </w:r>
    </w:p>
    <w:p>
      <w:r>
        <w:rPr>
          <w:b/>
        </w:rPr>
        <w:t>E. 6.2</w:t>
      </w:r>
    </w:p>
    <w:p>
      <w:r>
        <w:t>Au vu de ce qui précède, le recours sera rejeté et la décision sur opposition du 22 septembre 2021, ordonnant la restitution de CHF 4'989.70, sera confirmée. La demande de remise sera transmise à l’intimée comme objet de sa compétence.![endif]&gt;![if&gt;</w:t>
      </w:r>
    </w:p>
    <w:p>
      <w:r>
        <w:rPr>
          <w:b/>
        </w:rPr>
        <w:t>E. 6.3</w:t>
      </w:r>
    </w:p>
    <w:p>
      <w:r>
        <w:t>La procédure est gratuite (art. 61 let. a LPGA et 89H al. 4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