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A/3371/2022 vom 19. Mai 2023</w:t>
      </w:r>
    </w:p>
    <w:p>
      <w:r>
        <w:t>GE Cour de justice, 2023-05-19, FR</w:t>
      </w:r>
    </w:p>
    <w:p>
      <w:r>
        <w:rPr>
          <w:b/>
        </w:rPr>
        <w:t xml:space="preserve">Quelle: </w:t>
      </w:r>
      <w:r>
        <w:t>https://mcp.opencaselaw.ch/entscheid/ge_gerichte_A_3371_2022</w:t>
      </w:r>
    </w:p>
    <w:p>
      <w:r>
        <w:t>FR: GE_GERICHTE A/3371/2022 du 19 mai 2023</w:t>
      </w:r>
    </w:p>
    <w:p>
      <w:r>
        <w:t>IT: GE_GERICHTE A/3371/2022 del 19 maggio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Le 1 er janvier 2021 est entrée en vigueur la modification du 21 juin 2019 de la LPGA. Dans la mesure où le recours a été interjeté postérieurement au 1 er janvier 2021, il est soumis au nouveau droit (cf. art. 82 a LPGA).</w:t>
      </w:r>
    </w:p>
    <w:p>
      <w:r>
        <w:rPr>
          <w:b/>
        </w:rPr>
        <w:t>E. 3</w:t>
      </w:r>
    </w:p>
    <w:p>
      <w:r>
        <w:t>Des modifications législatives et réglementaires sont entrées en vigueur au 1 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599).![endif]&gt;![if&gt; Du point de vue temporel, sous réserve de dispositions particulières de droit transitoire, le droit applicable est déterminé par les règles en vigueur au moment où les faits juridiquement déterminants se sont produits, étant précisé que le juge n'a en principe pas à prendre en considération les modifications du droit postérieures à la date déterminante de la décision administrative litigieuse (ATF 144 V 210 consid. 4.3.1 et les références ; ATF 136 V 24 consid. 4.3; ATF 130 V 445 consid. 1 et les références ; ATF 129 V 1 consid. 1.2 et les références). Dans la mesure où le recours porte sur la restitution de prestations complémentaires perçues du 1 er avril 2015 au 31 octobre 2020, soit une période antérieure au 1 er janvier 2021, le présent litige reste soumis à l'ancien droit, en l'absence de dispositions transitoires prévoyant une application rétroactive du nouveau droit. Les dispositions légales et réglementaires seront donc citées ci-après dans leur teneur en vigueur jusqu'au 31 décembre 2020.</w:t>
      </w:r>
    </w:p>
    <w:p>
      <w:r>
        <w:rPr>
          <w:b/>
        </w:rPr>
        <w:t>E. 4</w:t>
      </w:r>
    </w:p>
    <w:p>
      <w:r>
        <w:t>Le délai de recours est de trente jours (art. 60 al. 1 LPGA; art. 43 LPCC ; art. 62 al. 1 let. a de la loi sur la procédure administrative du 12 septembre 1985 [LPA-GE - E 5 10] et art. 43 LPCC). ![endif]&gt;![if&gt; 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5</w:t>
      </w:r>
    </w:p>
    <w:p>
      <w:r>
        <w:t>Compte tenu de la réponse de l’intimé, l’objet du litige se limite désormais à la question de savoir si c’est à juste titre que l’intimé a requis de la recourante la restitution d’un trop perçu, après avoir tenu compte du gain hypothétique de son époux dans le calcul des prestations complémentaires et subsides d’assurance-maladie.![endif]&gt;![if&gt;</w:t>
      </w:r>
    </w:p>
    <w:p>
      <w:r>
        <w:rPr>
          <w:b/>
        </w:rPr>
        <w:t>E. 6</w:t>
      </w:r>
    </w:p>
    <w:p>
      <w:r>
        <w:t>![endif]&gt;![if&gt;</w:t>
      </w:r>
    </w:p>
    <w:p>
      <w:r>
        <w:rPr>
          <w:b/>
        </w:rPr>
        <w:t>E. 6.1</w:t>
      </w:r>
    </w:p>
    <w:p>
      <w:r>
        <w:t>S'agissant des prestations complémentaires fédérales, selon l'art. 25 al. 1 1ère phrase LPGA, en relation avec l'art. 2 al. 1 let. a de l'Ordonnance sur la partie générale du droit des assurances sociales du 11 septembre 2002 (OPGA ; RS 830.11), les prestations indûment touchées doivent être restituées par le bénéficiaire ou par ses héritiers. ![endif]&gt;![if&gt;</w:t>
      </w:r>
    </w:p>
    <w:p>
      <w:r>
        <w:rPr>
          <w:b/>
        </w:rPr>
        <w:t>E. 6.2</w:t>
      </w:r>
    </w:p>
    <w:p>
      <w:r>
        <w:t>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![endif]&gt;![if&gt;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6.3</w:t>
      </w:r>
    </w:p>
    <w:p>
      <w:r>
        <w:t>S’agissant de la restitution des subsides d’assurance-maladie, conformément à l’art. 33 de la loi d’application de la loi fédérale sur l’assurance-maladie du 29 mai 1997 (LaLAMal – J 3 05), les subsides indûment touchés doivent être restitués en appliquant par analogie l'article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2).![endif]&gt;![if&gt;</w:t>
      </w:r>
    </w:p>
    <w:p>
      <w:r>
        <w:rPr>
          <w:b/>
        </w:rPr>
        <w:t>E. 7</w:t>
      </w:r>
    </w:p>
    <w:p>
      <w:r>
        <w:t>![endif]&gt;![if&gt;</w:t>
      </w:r>
    </w:p>
    <w:p>
      <w:r>
        <w:rPr>
          <w:b/>
        </w:rPr>
        <w:t>E. 7.1</w:t>
      </w:r>
    </w:p>
    <w:p>
      <w:r>
        <w:t>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ATF 138 V 426 consid. 5.2.1 et les références; ATF 130 V 318 consid. 5.2 et les références). ![endif]&gt;![if&gt;</w:t>
      </w:r>
    </w:p>
    <w:p>
      <w:r>
        <w:rPr>
          <w:b/>
        </w:rPr>
        <w:t>E. 7.2</w:t>
      </w:r>
    </w:p>
    <w:p>
      <w:r>
        <w:t>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ATF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référence).![endif]&gt;![if&gt;</w:t>
      </w:r>
    </w:p>
    <w:p>
      <w:r>
        <w:rPr>
          <w:b/>
        </w:rPr>
        <w:t>E. 7.3</w:t>
      </w:r>
    </w:p>
    <w:p>
      <w:r>
        <w:t>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5.1).![endif]&gt;![if&gt;</w:t>
      </w:r>
    </w:p>
    <w:p>
      <w:r>
        <w:rPr>
          <w:b/>
        </w:rPr>
        <w:t>E. 7.4</w:t>
      </w:r>
    </w:p>
    <w:p>
      <w:r>
        <w:t>Selon l’art. 17 al. 2 LPGA, toute prestation durable accordée en vertu d’une décision entrée en force est, d’office ou sur demande, augmentée ou réduite en conséquence, ou encore supprimée si les circonstances dont dépendait son octroi changent notablement.![endif]&gt;![if&gt;</w:t>
      </w:r>
    </w:p>
    <w:p>
      <w:r>
        <w:rPr>
          <w:b/>
        </w:rPr>
        <w:t>E. 7.5</w:t>
      </w:r>
    </w:p>
    <w:p>
      <w:r>
        <w:t>En cas de modification des circonstances au sens de l’art. 17 al. 2 LPGA, le bénéficiaire de prestations complémentaires peut également être tenu de restituer les prestations allouées à tort en cas de non-respect de l’obligation de renseigner (art. 25 al. 2 let. c et d OPC-AVS/AI; cf. arrêt du Tribunal fédéral 9C_747/2018 du 12 mars 2019). ![endif]&gt;![if&gt;</w:t>
      </w:r>
    </w:p>
    <w:p>
      <w:r>
        <w:rPr>
          <w:b/>
        </w:rPr>
        <w:t>E. 7.6</w:t>
      </w:r>
    </w:p>
    <w:p>
      <w:r>
        <w:t>L’obligation de restituer des prestations complémentaires en cas de versement ultérieur d’une prestation arriérée n’est pas liée à une violation de l’obligation de renseigner. La restitution doit simplement permettre de rétablir l’ordre légal, après la découverte du fait nouveau, soit l’existence d’un élément de revenu inconnu au moment de la décision de prestations complémentaires, mais qui aurait dû être pris en compte parce qu’il existait déjà, du moins sous forme de créance ou de prétention (ATF 146 V 331 consid. 5.4 et les références; arrêt du Tribunal fédéral 9C_398/2021 du 22 février 2022 consid. 5.3 et les références; cf. également arrêt du Tribunal fédéral 9C_313/2020 du 3 mars 2021 consid. 3.1 et les références).![endif]&gt;![if&gt;</w:t>
      </w:r>
    </w:p>
    <w:p>
      <w:r>
        <w:rPr>
          <w:b/>
        </w:rPr>
        <w:t>E. 8</w:t>
      </w:r>
    </w:p>
    <w:p>
      <w:r>
        <w:t>![endif]&gt;![if&gt;</w:t>
      </w:r>
    </w:p>
    <w:p>
      <w:r>
        <w:rPr>
          <w:b/>
        </w:rPr>
        <w:t>E. 8.1</w:t>
      </w:r>
    </w:p>
    <w:p>
      <w:r>
        <w:t>Les délais de l’art. 25 al. 2 LPGA sont des délais (relatif et absolu) de péremption, qui doivent être examinés d'office (ATF 146 V 217 consid. 2.1 et les références ; ATF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références).![endif]&gt;![if&gt;</w:t>
      </w:r>
    </w:p>
    <w:p>
      <w:r>
        <w:rPr>
          <w:b/>
        </w:rPr>
        <w:t>E. 8.2</w:t>
      </w:r>
    </w:p>
    <w:p>
      <w:r>
        <w:t>En vertu de l'art. 25 al. 2 1ère phrase LPGA (dans sa teneur en vigueur à compter du 1er janvier 2021), le droit de demander la restitution s'éteint trois ans après le moment où l'institution d’assurance a eu connaissance du fait, mais au plus tard cinq ans après le versement de la prestation. ![endif]&gt;![if&gt;</w:t>
      </w:r>
    </w:p>
    <w:p>
      <w:r>
        <w:rPr>
          <w:b/>
        </w:rPr>
        <w:t>E. 8.3</w:t>
      </w:r>
    </w:p>
    <w:p>
      <w:r>
        <w:t>Jusqu’au 31 décembre 2020, l’art. 25 al. 2 1ère phrase aLPGA prévoyait que le droit de demander la restitution s’éteignait un an après le moment où l’institution d’assurance avait eu connaissance du fait, mais au plus tard cinq ans après le versement de la prestation.![endif]&gt;![if&gt;</w:t>
      </w:r>
    </w:p>
    <w:p>
      <w:r>
        <w:rPr>
          <w:b/>
        </w:rPr>
        <w:t>E. 8.4</w:t>
      </w:r>
    </w:p>
    <w:p>
      <w:r>
        <w:t>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(OFAS, Lettre circulaire AI n° 406, du 22 décembre 2020, modifiée le 31 mars 2021 et les références). ![endif]&gt;![if&gt;</w:t>
      </w:r>
    </w:p>
    <w:p>
      <w:r>
        <w:rPr>
          <w:b/>
        </w:rPr>
        <w:t>E. 8.5</w:t>
      </w:r>
    </w:p>
    <w:p>
      <w:r>
        <w:t>Le délai de péremption relatif commence à courir dès le moment où l'administration aurait dû connaître les faits fondant l'obligation de restituer, en faisant preuve de l'attention que l'on pouvait raisonnablement exiger d'elle (ATF 148 V 217 consid. 5.1.1 et les références; ATF 140 V 521 consid. 2.1 et les références; ATF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ATF 146 V 217 consid. 2.1 et les références; ATF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A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A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arrêt du Tribunal fédéral 8C_754/2020 du 11 juin 2021 consid. 5.2 et les références). ![endif]&gt;![if&gt;</w:t>
      </w:r>
    </w:p>
    <w:p>
      <w:r>
        <w:rPr>
          <w:b/>
        </w:rPr>
        <w:t>E. 8.6</w:t>
      </w:r>
    </w:p>
    <w:p>
      <w:r>
        <w:t>Dans le cas d’espèce, il n’est pas nécessaire d’examiner en détail quel délai de prescription relatif s’applique dès lors que le délai minimum, à savoir une année, est rempli. En effet, les changements de situation ont été communiqués au SPC par la travailleuse sociale, agissant au nom de l’intéressée, dans son courrier du 22 décembre 2021 et le SPC a pris sa décision de demande de remboursement en date du 18 mars 2022, dans un délai inférieur à un an. Aucun élément figurant au dossier ne permettait au SPC de connaître ces informations avant la réception du courrier du 21 décembre 2021 ; la recourante n’allègue d’ailleurs pas que le SPC aurait dû connaître ces informations avant.![endif]&gt;![if&gt;</w:t>
      </w:r>
    </w:p>
    <w:p>
      <w:r>
        <w:rPr>
          <w:b/>
        </w:rPr>
        <w:t>E. 9</w:t>
      </w:r>
    </w:p>
    <w:p>
      <w:r>
        <w:t>![endif]&gt;![if&gt;</w:t>
      </w:r>
    </w:p>
    <w:p>
      <w:r>
        <w:rPr>
          <w:b/>
        </w:rPr>
        <w:t>E. 9.1</w:t>
      </w:r>
    </w:p>
    <w:p>
      <w:r>
        <w:t>S’agissant de la période pendant laquelle on peut réclamer la restitution, le délai de péremption est de cinq ans mais l'art. 25 al. 2 2ème phrase LPGA, prévoit que si la créance naît d'un acte punissable pour lequel le droit pénal prévoit un délai de prescription plus long, celui-ci est déterminant. Ainsi, tant que le bénéficiaire des prestations est susceptible d’être poursuivi pénalement, une péremption du droit à la restitution ne se justifie pas (cf. ATF 138 V 74 consid. 5.2). Pour que le délai de prescription plus long prévu par le droit pénal s'applique, il n'est pas nécessaire que l'auteur de l'infraction ait été condamné (ATF 140 IV 206 consid. 6.2 et les références; arrêt du Tribunal fédéral 9C_97/2020 du 10 juin 2020 consid. 2.2).</w:t>
      </w:r>
    </w:p>
    <w:p>
      <w:r>
        <w:rPr>
          <w:b/>
        </w:rPr>
        <w:t>E. 9.2</w:t>
      </w:r>
    </w:p>
    <w:p>
      <w:r>
        <w:t>En l’absence d’un jugement pénal, l’administration, respectivement, le juge des assurances sociales, doit examiner, à titre préjudiciel, si les circonstances correspondant à une infraction pénale sont réunies et, partant, si un délai de prescription plus long que les délais relatifs et absolus prévus par l'art. 25 al. 2 LPGA est applicable (ATF 140 IV 206 consid. 6.2 et les références; arrêt du Tribunal fédéral 9C_97/2020 du 10 juin 2020 consid. 2.2). Lorsqu’il y a lieu de décider si la créance en restitution dérive d'un acte punissable soumis par les lois pénales à une prescription de plus longue durée, le degré de la preuve requis est celui qui prévaut en procédure pénale ; la présomption d’innocence s’applique, et le degré de la vraisemblance prépondérante reconnu habituellement en droit des assurances sociales n’est pas suffisant. En tout état de cause, il appartient à l’autorité qui entend se prévaloir d’un délai de prescription selon le droit pénal de produire les moyens permettant d’apporter la preuve d’un comportement punissable, singulièrement la réalisation des conditions objectives et subjectives de l’infraction (ATF 138 V 74 consid. 6.1 et 7 et les références).</w:t>
      </w:r>
    </w:p>
    <w:p>
      <w:r>
        <w:rPr>
          <w:b/>
        </w:rPr>
        <w:t>E. 9.3</w:t>
      </w:r>
    </w:p>
    <w:p>
      <w:r>
        <w:t>En matière de prestations complémentaires, ce sont principalement les art. 31 LPC (manquement à l’obligation de communiquer), 146 (escroquerie) et 148a (obtention ilicite de prestations d’une assurance sociale ou de l’aide sociale)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148a CP, qui vise l’obtention illicite de prestations d’une assurance sociale ou de l’aide sociale, il prévoit une peine privative de liberté d’un an au plus ou d’une peine pécuniaire (al. 1). Dans les cas de peu de gravité, la peine est l’amende (al. 2).</w:t>
      </w:r>
    </w:p>
    <w:p>
      <w:r>
        <w:rPr>
          <w:b/>
        </w:rPr>
        <w:t>E. 9.4</w:t>
      </w:r>
    </w:p>
    <w:p>
      <w:r>
        <w:t>Selon l'art. 97 al. 1 CP (art. 70 aCP dans sa teneur entrée en vigueur depuis le 1er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aux art. 31 LPC et 148a CP est donc de sept ans, celui de l’infraction visée à l'art. 146 al. 1 CP de quinze ans.</w:t>
      </w:r>
    </w:p>
    <w:p>
      <w:r>
        <w:rPr>
          <w:b/>
        </w:rPr>
        <w:t>E. 9.5</w:t>
      </w:r>
    </w:p>
    <w:p>
      <w:r>
        <w:t>Aux termes de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Par tromperie, il faut entendre tout comportement destiné à faire naître chez autrui une représentation erronée des faits (ATF 147 IV 73 consid. 3.1 ; ATF 140 IV 11 consid. 2.3.2 ; ATF 135 IV 76 consid. 5.1). La tromperie peut être réalisée non seulement par l'affirmation d'un fait faux, mais également par la dissimulation d'un fait vrai. L'assuré qui, en vertu de l'art. 31 LPGA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206 consid. 6.3.1.3 et les références). Une personne mise au bénéfice de prestations complémentaires après avoir sciemment fourni à l'administration des indications erronées sur sa situation patrimoniale ne confirme pas mois après mois son indigence et, partant ne répète pas à chaque fois une tromperie par commission, si elle se borne à passivement percevoir lesdites prestations sans jamais spontanément déclarer sa situation financière réelle ni être interrogée à ce propos. Son silence est en revanche constitutif d'une tromperie par commission si elle a été conduite par l'administration à s'exprimer sur sa situation financière, au moins par acte concluant ou silence qualifié (arrêt du Tribunal fédéral 9C_232/2013 du 13 décembre 2013 consid. 4.1.2 et les références).</w:t>
      </w:r>
    </w:p>
    <w:p>
      <w:r>
        <w:rPr>
          <w:b/>
        </w:rPr>
        <w:t>E. 9.6</w:t>
      </w:r>
    </w:p>
    <w:p>
      <w:r>
        <w:t>En l’espèce, on constate que l’intéressée n’a pas annoncé spontanément, comme elle avait le devoir de le faire, qu’elle était propriétaire d’immeubles sis au Portugal, alors même qu’elle avait une obligation de renseigner le SPC, ce qui lui était rappelé régulièrement dans les communications de ce dernier, sur tous les changements dans sa situation personnelle et/ou financière, ce qui inclut, notamment, la propriété d’immeubles en Suisse et à l’étranger. Les mêmes formulaires avertissaient l’intéressée qu’en cas d’omission ou de retard, elle s’exposait à une demande de restitution des prestations versées indûment, voire à des poursuites pénales. À cet égard, il sera relevé que dans sa demande de prestations complémentaires reçue le 28 janvier 2015, sous la rubrique situation économique et notamment fortune et « propriété immobilière », l’intéressée n’a rien déclaré. À juste titre, la recourante ne le nie pas et ne remet pas en question le délai de sept ans appliqué par le SPC. Compte tenu de ces éléments, la demande de restitution du SPC sur une période de sept ans est conforme aux dispositions légales.</w:t>
      </w:r>
    </w:p>
    <w:p>
      <w:r>
        <w:rPr>
          <w:b/>
        </w:rPr>
        <w:t>E. 10</w:t>
      </w:r>
    </w:p>
    <w:p>
      <w:r>
        <w:t>![endif]&gt;![if&gt;</w:t>
      </w:r>
    </w:p>
    <w:p>
      <w:r>
        <w:rPr>
          <w:b/>
        </w:rPr>
        <w:t>E. 10.1</w:t>
      </w:r>
    </w:p>
    <w:p>
      <w:r>
        <w:t>Les revenus hypothétiques, provenant d'une activité lucrative, fixés schématiquement à l'art. 14a al. 1 OPC-AVS/AI, représentent une présomption juridique. L'assuré peut renverser cette présomption en apportant la preuve qu'il ne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w:t>
      </w:r>
    </w:p>
    <w:p>
      <w:r>
        <w:rPr>
          <w:b/>
        </w:rPr>
        <w:t>E. 10.2</w:t>
      </w:r>
    </w:p>
    <w:p>
      <w:r>
        <w:t>Pour examiner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Les critères décisifs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arrêts du Tribunal fédéral des assurances P/17/01 du 16 juillet 2001 consid. 1c et P 88/01 du 8 octobre 2002 consid. 2.1).</w:t>
      </w:r>
    </w:p>
    <w:p>
      <w:r>
        <w:rPr>
          <w:b/>
        </w:rPr>
        <w:t>E. 10.3</w:t>
      </w:r>
    </w:p>
    <w:p>
      <w:r>
        <w:t>S’agissant plus particulièrement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 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w:t>
      </w:r>
    </w:p>
    <w:p>
      <w:r>
        <w:rPr>
          <w:b/>
        </w:rPr>
        <w:t>E. 10.4</w:t>
      </w:r>
    </w:p>
    <w:p>
      <w:r>
        <w:t>La chambre de céans a estimé que, dans l’hypothèse où une demande de révision était en cours d’instruction auprès de l’OAI, en raison de l’allégation d’une aggravation de l’état de santé du bénéficiaire de prestations, il n’appartenait pas au SPC de se substituer à l’OAI et d’effectuer les investigations relatives à son état de santé. Cas échéant, le SPC modifierait ses décisions en fonction des résultats de l’instruction diligentée par les organes de l’OAI ( ATAS/976/2013 ; ATAS/1072/2011 ; ATAS/1014/2010 ). Selon les directives concernant les prestations complémentaires à l'AVS et à l'AI (DPC – valables dès le 1er janvier 2011), l'art. 14a OPC établit une présomption légale aux termes de laquelle les assurés partiellement invalides sont foncièrement en mesure d’obtenir les montants limites prévus. Cette présomption peut être renversée par l’assuré s’il établit que des facteurs objectifs ou subjectifs, étrangers à l’AI, lui interdisent ou compliquent la réalisation du revenu en question (DPC n° 3424.06). Néanmoins, en dépit de cette présomption, aucun revenu hypothétique n’est pris en compte chez le bénéficiaire de PC à l’une ou l’autre des conditions suivantes : - si, malgré tous ses efforts, sa bonne volonté et les démarches entreprises, l’assuré ne trouve aucun emploi ; cette hypothèse peut être considérée comme réalisée lorsqu’il s’est adressé à un ORP et prouve que ses recherches d’emploi sont suffisantes qualitativement et quantitativement ; - lorsqu’il touche des allocations de chômage ; - s’il est établi que, sans la présence continue de l’assuré à ses côtés, l’autre conjoint devrait être placé dans un home ou un établissement hospitalier ; - si l’assuré a atteint sa 60ème année (DPC n° 3424.07). En l’occurrence, aucune des quatre conditions rappelées supra n’est réalisée par l’époux de la recourante.</w:t>
      </w:r>
    </w:p>
    <w:p>
      <w:r>
        <w:rPr>
          <w:b/>
        </w:rPr>
        <w:t>E. 11</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3).![endif]&gt;![if&gt;</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1d).![endif]&gt;![if&gt;</w:t>
      </w:r>
    </w:p>
    <w:p>
      <w:r>
        <w:rPr>
          <w:b/>
        </w:rPr>
        <w:t>E. 14</w:t>
      </w:r>
    </w:p>
    <w:p>
      <w:r>
        <w:t>En l’espèce, la recourante fait grief à l’intimé d’avoir pris en compte un gain hypothétique pour son époux, depuis le 1 er avril 2015, sans avoir suffisamment tenu compte de sa santé, de sa situation personnelle, et des éléments extras médicaux.![endif]&gt;![if&gt; L’intimé, de son côté, a modifié sa position dans le cadre de la réponse au recours et a accepté de s’aligner sur les conclusions de l’OAI, sans toutefois admettre une incapacité de travail totale du conjoint avant le 1 er novembre 2020.</w:t>
      </w:r>
    </w:p>
    <w:p>
      <w:r>
        <w:rPr>
          <w:b/>
        </w:rPr>
        <w:t>E. 14.1</w:t>
      </w:r>
    </w:p>
    <w:p>
      <w:r>
        <w:t>Suite au dépôt de la demande de prestations complémentaires du 28 janvier 2015, plusieurs décisions ont été rendues par le SPC et sont entrées en force. C’est le cas, notamment, de la décision du 10 juin 2015, retenant un montant de CHF 58’342.70 pour le gain potentiel du conjoint dès le 1 er janvier 2015 ; la décision du 11 décembre 2015, retenant un montant de CHF 61’568.30 pour le gain potentiel du conjoint dès le 1 er janvier 2016 ; la décision du 14 décembre 2016, retenant un gain potentiel du conjoint de CHF 62’060.10 dès le 1 er janvier 2017 ; la décision du 13 décembre 2017 retenant un gain potentiel du conjoint de CHF 62’416.15 dès le 1 er janvier 2018 ; la décision du 13 décembre 2018 retenant un gain potentiel du conjoint de CHF 62’494.25, dès le 1 er janvier 2019 et la décision du 3 décembre 2019, retenant un gain potentiel du conjoint de CHF 62’710.80, dès le 1 er janvier 2020. Ces décisions sont entrées en force sur le principe de la prise en compte, dans les calculs des prestations complémentaires et des subsides d’assurance-maladie, du gain hypothétique du conjoint et de la quotité dudit gain. Aucune de ces décisions n’a été querellée par l’intéressée, alors même que chaque année, depuis 2015, le SPC prenait en compte, dans ses calculs, un revenu correspondant au gain hypothétique que pouvait réaliser le conjoint de l’intéressée en travaillant à 100%.</w:t>
      </w:r>
    </w:p>
    <w:p>
      <w:r>
        <w:rPr>
          <w:b/>
        </w:rPr>
        <w:t>E. 14.2</w:t>
      </w:r>
    </w:p>
    <w:p>
      <w:r>
        <w:t>Ces décisions non querellées sont désormais entrées en force. Pour qu’elles soient revues, comme le demande la recourante, il faut qu’il existe un motif de révision. Selon l'art. 53 al. 1 LPGA, les décisions et les décisions sur opposition formellement passées en force sont soumises à révision si l’intéressé ou l'assureur découvre subséquemment des faits nouveaux importants ou trouve des nouveaux moyens de preuve qui ne pouvaient être produits auparavant. La recourante invoque comme fait nouveau, l’état de santé de son conjoint. Or, cet élément n’est pas nouveau puisqu’il est connu depuis plusieurs années de l’intéressée, qui ne manque pas de l’invoquer, dans son mémoire de recours sous page 2, chiffre 2 « en effet, ce dernier [le conjoint] souffre depuis plusieurs années de sévères problèmes de santé d’ordre pulmonaire, (bronchopneumopathie chronique obstructive), pour lesquels une demande AI a été déposée sur le tard, en février 2021 ». Compte tenu de ces déclarations et des pièces au dossier, on ne saurait considérer que l’état de santé du conjoint peut être qualifié de fait nouveau pouvant entraîner la révision des décisions prises par le SPC de 2015 à 2019. Partant, ce motif de révision doit être écarté.</w:t>
      </w:r>
    </w:p>
    <w:p>
      <w:r>
        <w:rPr>
          <w:b/>
        </w:rPr>
        <w:t>E. 14.3</w:t>
      </w:r>
    </w:p>
    <w:p>
      <w:r>
        <w:t>Il ressort de l’argumentation de la recourante qu’il faut tenir compte de la procédure opposant son conjoint à l’OAI et notamment la réponse de ce dernier, dans le cadre de la procédure A/2731/2022, datée du 22 septembre 2022 et qui conclut à l’octroi en faveur du conjoint d’une rente d’invalidité à 100% dès le 1 er décembre 2021. Cette prise de position, qui doit être encore formalisée par une décision qui, selon les déclarations des parties, n’a pas encore été rendue, justifie la reconsidération par le SPC de sa position exprimée dans la décision querellée du 13 septembre 2022. Il n’en demeure pas moins que sous l’angle du motif de révision, il ne s’agit nullement d’un nouvel élément de preuve qui ne pouvait pas être produit auparavant dès lors que ce courrier ne vise que la situation à partir du 1 er décembre 2021 et que son contenu ne permet aucunement de considérer que le conjoint de l’intéressée était dans l’incapacité totale de travailler avant le 1 er novembre 2020. La recourante invoque également, comme nouveau moyen de preuve, de nouvelles pièces médicales et plus particulièrement le rapport médical du 8 août 2022 de la Dre C______, qui est la pneumologue traitante du conjoint de l’intéressée depuis le mois de décembre 2020. Cette dernière décrit l’état de santé du conjoint et les diagnostics ainsi que les limitations fonctionnelles, reprenant notamment ses conclusions du 9 mars 2021, soit que la capacité de travail résiduelle du conjoint est de 20 à 30 %. Comme l’a souligné le service médical régional de l’OAI (ci-après : le SMR), dans son avis médical, non daté, mais mentionnant le « Recours contre la décision du 28 juin 2022 », sous la plume de la docteure D______, les explications de la pneumologue sont tout à fait pertinentes et il convient de les suivre « mais la date de début de l’incapacité de travail ne peut être que celle du 8 décembre 2020, date de la première consultation de pneumologie et des fonctions pulmonaire mettant en évidence de manière objective le syndrome obstructif sévère ». À la lecture des rapports médicaux et des conclusions du SMR, il est établi que la capacité de travail du conjoint de l’intéressée est nulle, dans toute activité depuis le 8 décembre 2020 ; il n’est aucunement fait mention de la capacité de travail pendant les années précédentes. Ainsi, ni les rapports médicaux de la pneumologue, ni l’avis médical du SMR ne peuvent être interprétés comme des moyens de preuve nouveaux pouvant entraîner une révision des décisions prises avant le 1 er novembre 2020. Comme le reconnaît la recourante, la demande de prestation d’invalidité du conjoint a été déposée sur le tard en 2021. Il appartenait à cette dernière de contester systématiquement les décisions rendues par le SPC, dès l’année 2015, en offrant de démontrer l’incapacité partielle ou totale de travail de son conjoint, ce qu’elle n’a pas fait. En cas d'absence de preuve, c'est à la partie qui voulait en déduire un droit d'en supporter les conséquences (ATF 117 V 261 consid. 3). La recourante a échoué à démontrer que les conditions d’une révision des décisions antérieures à 2020 étaient remplies. Partant, le grief de la recourante concernant le principe de la prise en compte d’un gain hypothétique du conjoint avant le 1er novembre 2020 doit être écarté. S’agissant de la demande d’audition de la recourante, de son conjoint et de leur fille, afin de démontrer l’incapacité de travail, il convient de rappeler qu’ils n’ont pas d’expérience médicale et qu’en raison du lien familial étroit qui lie l’intéressée à son conjoint et à sa fille, ces deux derniers ne pourront être entendus qu’à titre de renseignements selon l’art. 31 let. a et f LPA avec la « distance nécessaire » découlant du lien entre l’intéressée et la personne entendue (Code annoté de procédure administrative genevoise, Stéphane GRODECKI et Romain JORDAN, Berne, 2017, ad. art. 31, N. 446). En se fondant sur une appréciation anticipée des preuves, la chambre de céans considère qu’il n’est pas nécessaire d’y donner suite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w:t>
      </w:r>
    </w:p>
    <w:p>
      <w:r>
        <w:rPr>
          <w:b/>
        </w:rPr>
        <w:t>E. 14.4</w:t>
      </w:r>
    </w:p>
    <w:p>
      <w:r>
        <w:t>Il sied encore d’ajouter que, même si les conditions de la révision ne sont pas réalisées, l’art. 53 al. 2 LPGA formalise un principe général du droit des assurances sociales, qui prévoit que l'assureur peut reconsidérer les décisions ou les décisions sur opposition formellement passées en force, lorsqu'elles sont manifestement erronées et que leur rectification revêt une importance notable (ATF 133 V 50 consid. 4.1). Cependant, selon la jurisprudence, l'administration n'est pas tenue de reconsidérer les décisions qui remplissent les conditions fixées ; elle en a simplement la faculté et ni l’intéressé ni le juge ne peuvent l'y contraindre. En l’état, on comprend de la dernière écriture du SPC du 8 décembre 2022 que ce dernier persiste dans son préavis du 9 novembre 2022 et que, par conséquent, il accepte de ne plus tenir compte du gain hypothétique du conjoint « depuis le 1 er novembre 2020 » mais refuse de reconsidérer le principe de la prise en compte d’un gain hypothétique du conjoint pour la période allant du 1 er avril 2015 au 31 octobre 2020.</w:t>
      </w:r>
    </w:p>
    <w:p>
      <w:r>
        <w:rPr>
          <w:b/>
        </w:rPr>
        <w:t>E. 14.5</w:t>
      </w:r>
    </w:p>
    <w:p>
      <w:r>
        <w:t>S’agissant du deuxième grief de la recourante, soit la contestation de la quotité des montants retenus par le SPC dans la décision querellée ; après comparaison entre les montants figurant dans chacune des décisions prises, respectivement, en juin 2015, décembre 2015, décembre 2016, décembre 2017, décembre 2018 et décembre 2019, il apparaît que les montants des revenus hypothétiques du conjoint sont identiques, pour chaque année à ceux qui figurent dans le plan de calcul annexé à la décision querellée. Lesdits montants sont entrés en force pour la période précédant le 1 er novembre 2020 et n’ont pas été revus par le SPC depuis lors. Ils ont simplement été repris dans la feuille de calcul récapitulative, jointe à la décision querellée. Il sied d’ajouter que, malgré les critiques de la recourante, le SPC a tout de même fourni des explications sur la manière dont les montants du gain hypothétique avaient été calculés, en indiquant qu’il s’était fondé sur la dernière version disponible de l’enquête suisse sur la structure des salaires (ESS), tableau TA1, toutes activités confondues, hommes, activités simples et répétitives, ce qui ne prête pas le flanc à la critique. Étant précisé que par « dernière version disponible » des ESS le SPC indique très probablement la version qui était en vigueur au moment où les décisions des années, respectivement, 2015, 2016, 2017, 2018 et 2019 ont été rendues. Compte tenu de ces éléments, les montants retenus par le SPC comme gain hypothétique du conjoint pour la période précédant le 1 er novembre 2020 sont entrés en force et ne peuvent pas être revus, faute de motifs de révision, comme cela a été examiné supra .</w:t>
      </w:r>
    </w:p>
    <w:p>
      <w:r>
        <w:rPr>
          <w:b/>
        </w:rPr>
        <w:t>E. 15</w:t>
      </w:r>
    </w:p>
    <w:p>
      <w:r>
        <w:t>À l’aune de ce qui précède, la chambre de céans considère qu’il est établi, au degré de la vraisemblance prépondérante, que l’on peut retenir une incapacité de travail totale du conjoint de l’intéressée dès le 1 er novembre 2020, ce qui implique qu’un gain hypothétique du conjoint ne peut pas être retenu à partir de cette date. Partant et conformément à la proposition du SPC, le recours sera partiellement admis et la cause renvoyée au SPC pour nouvelle décision, par laquelle ce dernier supprimera le revenu hypothétique, dès le 1 er novembre 2020 et tiendra compte de la rente de l’assurance invalidité qui sera prochainement octroyée au conjoint de l’intéressée.![endif]&gt;![if&gt;</w:t>
      </w:r>
    </w:p>
    <w:p>
      <w:r>
        <w:rPr>
          <w:b/>
        </w:rPr>
        <w:t>E. 16</w:t>
      </w:r>
    </w:p>
    <w:p>
      <w:r>
        <w:t>La recourante, assistée par un mandataire professionnellement qualifié et obtenant partiellement gain de cause, a ainsi droit à une indemnité à titre de participation à ses frais et dépens, que la chambre de céans fixera à CHF 1'500.- (art. 61 let. g LPGA ; art. 89H al. 3 de la loi sur la procédure administrative du 12 septembre 1985 – LPA ; RS E 5 10 ; art. 6 du règlement sur les frais, émoluments et indemnités en procédure administrative du 30 juillet 1986 ; RFPA - RS E 5 10.03).![endif]&gt;![if&gt;</w:t>
      </w:r>
    </w:p>
    <w:p>
      <w:r>
        <w:rPr>
          <w:b/>
        </w:rPr>
        <w:t>E. 17</w:t>
      </w:r>
    </w:p>
    <w:p>
      <w:r>
        <w:t>Pour le surplus, en l’absence de loi spéciale prévoyant des frais judiciaires, la procédure est gratuite (art. 61 let. fbis LPGA en lien avec l’art. 1 al. 1 LACI).![endif]&gt;![if&gt;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