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A/3370/2025 vom 4. Dezember 2025</w:t>
      </w:r>
    </w:p>
    <w:p>
      <w:r>
        <w:t>GE Cour de justice, 2025-12-04, FR</w:t>
      </w:r>
    </w:p>
    <w:p>
      <w:r>
        <w:rPr>
          <w:b/>
        </w:rPr>
        <w:t xml:space="preserve">Quelle: </w:t>
      </w:r>
      <w:r>
        <w:t>https://mcp.opencaselaw.ch/entscheid/ge_gerichte_A_3370_2025</w:t>
      </w:r>
    </w:p>
    <w:p>
      <w:r>
        <w:t>FR: GE_GERICHTE A/3370/2025 du 4 décembre 2025</w:t>
      </w:r>
    </w:p>
    <w:p>
      <w:r>
        <w:t>IT: GE_GERICHTE A/3370/2025 del 4 dicembre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la qualification du statut d’indépendante ou de salariée de la recourante et singulièrement sur son affiliation en fonction de ce statut.</w:t>
      </w:r>
    </w:p>
    <w:p>
      <w:r>
        <w:rPr>
          <w:b/>
        </w:rPr>
        <w:t>E. 3.1</w:t>
      </w:r>
    </w:p>
    <w:p>
      <w:r>
        <w:t>Selon l'art. 3 al. 1, 1 ère phr., LAVS, les assurés sont tenus de payer des cotisations tant qu’ils exercent une activité lucrative. L’art. 4 al. 1 LAVS prévoit que les cotisations des assurés qui exercent une activité lucrative sont calculées en pour-cent du revenu provenant de l’exercice de l’activité dépendante et indépendante.</w:t>
      </w:r>
    </w:p>
    <w:p>
      <w:r>
        <w:rPr>
          <w:b/>
        </w:rPr>
        <w:t>E. 3.2</w:t>
      </w:r>
    </w:p>
    <w:p>
      <w:r>
        <w:t>Conformément à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À teneur de l’art 10 LPGA, est réputé salarié celui qui fournit un travail dépendant et qui reçoit pour ce travail un salaire déterminant au sens des lois spéciales. Cette disposition renvoie aux lois spéciales et n'a aucun effet sur celles-ci : elle ne prévoit ni une annulation de ces dernières, ni n'introduit d'éventuelles dérogations dans les lois spéciales (arrêt du Tribunal fédéral H 2/06 du 10 avril 2006 consid. 6). L'art. 7 du règlement sur l'assurance-vieillesse et survivants du 31 octobre 1947 (RAVS - RS 831.101) prévoit que le salaire déterminant pour le calcul des cotisations comprend, notamment, le salaire au temps, aux pièces (à la tâche) et à la prime, y compris les indemnités pour les heures supplémentaires, le travail de nuit et en remplacement (let. a), les gratifications, les primes de fidélité et au rendement (let. c), les tantièmes, les indemnités fixes et les jetons de présence des membres de l'administration et des organes dirigeants des personnes morales (let. h).</w:t>
      </w:r>
    </w:p>
    <w:p>
      <w:r>
        <w:rPr>
          <w:b/>
        </w:rPr>
        <w:t>E. 3.3</w:t>
      </w:r>
    </w:p>
    <w:p>
      <w:r>
        <w:t>Selon l’art. 9 al. 1 LAVS, le revenu provenant d’une activité indépendante comprend tout revenu du travail autre que la rémunération pour un travail accompli dans une situation dépendante. Conformément à l’art. 12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L’art. 17 RAVS précise qu’est réputé revenu provenant d’une activité lucrative indépendante au sens de l’art. 9 al. 1 LAVS, tout revenu acquis dans une situation indépendante provenant de l’exploitation d’une entreprise commerciale, industrielle, artisanale, agricole ou sylvicole, de l’exercice d’une profession libérale ou de toute autre activité, y compris les bénéfices en capital et les bénéfices réalisés lors du transfert d’éléments de fortune au sens de l’art. 18 al. 2 e la loi fédérale sur l’impôt fédéral direct du 14 décembre 1990 (LIFD - RS 642.11), et les bénéfices provenant de l’aliénation d’immeubles agricoles ou sylvicoles conformément à l’art. 18 al. 4 LIFD, à l’exception des revenus provenant de participations déclarées comme fortune commerciale selon l’art. 18 al. 2 LIFD.</w:t>
      </w:r>
    </w:p>
    <w:p>
      <w:r>
        <w:rPr>
          <w:b/>
        </w:rPr>
        <w:t>E. 3.4</w:t>
      </w:r>
    </w:p>
    <w:p>
      <w:r>
        <w:t>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140 V 108 consid. 6 ; 123 V 161 consid. 1 et les références).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 cf . arrêt du Tribunal fédéral H 6/05 du 19 mai 2006 consid. 2.3).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RCC 1986 p. 651 consid. 4c ; RCC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 arrêt du Tribunal fédéral H 334/03 du 10 janvier 2005 consid. 6.2.1). En outre, la possibilité pour le travailleur d'organiser son horaire de travail ne signifie pas nécessairement qu'il s'agit d'une activité indépendante (ATF 122 V 169 consid. 3a ; arrêt du Tribunal fédéral 9C_460/2015 du 18 novembre 2015 consid. 3.2 et les références).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(arrêts du Tribunal fédéral 9C_624/2011 du 25 septembre 2012 consid. 2.2, 9C_1062/2010 du 5 juillet 2011 consid. 7.3 et les références ; voir aussi ATF 119 V 161 consid. 3b). Cependant,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9C_460/2015 du 18 novembre 2015 consid. 3.4 et les références).</w:t>
      </w:r>
    </w:p>
    <w:p>
      <w:r>
        <w:rPr>
          <w:b/>
        </w:rPr>
        <w:t>E. 3.5</w:t>
      </w:r>
    </w:p>
    <w:p>
      <w:r>
        <w:t>Si l'assuré exerce simultanément plusieurs activités lucratives, selon la conception de la stricte distinction entre activité lucrative indépendante et salariée ancrée à l'art. 5 et 9 LAVS, il faut examiner pour chacune d'elles si le revenu en découlant provient d'une activité indépendante ou salariée, même si les travaux sont exécutés pour une seule et même entreprise (ATF 122 V 169 consid. 3b ; 119 V 161 consid. 3c ; 104 V 126 consid. 3b). En effet, la loi ne prévoit pas d'évaluation globale en fonction de la signification économique des différentes activités. Ainsi, un assuré peut être qualifié simultanément de personne exerçant une activité salariée pour un travail et indépendante pour la même entreprise ou pour un autre travail ( cf . arrêt du Tribunal fédéral 9C_219/2009 du 21 août 2009 consid. 4.4). Le fait qu'une personne tenue à cotisations soit déjà affiliée à une caisse de compensation en tant qu'indépendante n'a aucune signification pour la qualification juridique du revenu par l’AVS (ATF 119 V 161 consid. 3c). Inversement lorsqu’une personne est tenue de verser des cotisations pour une activité qualifiée de salariée, la qualification juridique de ce revenu du point de vue du droit des cotisations AVS ne constitue pas un précédent contraignant pour la qualification juridique d'une autre activité lucrative. Sont seuls réservés les aspects relatifs à la coordination dans le cas de personnes qui exercent la même activité lucrative pour différents employeurs ou mandants ou exercent différentes activités lucratives pour le même employeur ou mandant (ATF 119 V 161 consid 3b). Par ailleurs, le fait que l'activité soit principale ou accessoire n'est pas déterminant, la rétribution à qualifier doit être considérée pour elle-même, d'après la situation dans laquelle se trouve la personne considérée au moment où elle acquiert cette rétribution. Certaines rétributions peuvent être du salaire déterminant pour une personne dont la profession principale consiste en l'exercice d'une activité indépendante (VSI 1995 p. 27 et 144).</w:t>
      </w:r>
    </w:p>
    <w:p>
      <w:r>
        <w:rPr>
          <w:b/>
        </w:rPr>
        <w:t>E. 3.6</w:t>
      </w:r>
    </w:p>
    <w:p>
      <w:r>
        <w:t>Les tâcherons et sous-traitants sont réputés exercer une activité dépendante, mais ce principe souffre toutefois des exceptions.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114 V 65 consid. 2b ; arrêt du Tribunal fédéral H 169/04 du 21 avril 2005 consid. 4.4).</w:t>
      </w:r>
    </w:p>
    <w:p>
      <w:r>
        <w:rPr>
          <w:b/>
        </w:rPr>
        <w:t>E. 4</w:t>
      </w:r>
    </w:p>
    <w:p>
      <w:r>
        <w:t>Les principes jurisprudentiels précités sont rappelés dans les directives sur le salaire déterminant dans l’AVS, AI et APG (ci-après : DSD), lesquels mentionnent notamment que les manifestations de la vie économique revêtent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(ch. 1023 DSD). On peut donner la prépondérance soit au critère risque économique, soit à celui du rapport de dépendance, ou à leurs manifestations respectives, suivant les circonstances particulières de chaque cas (ch. 1024 DSD). Lors de l’appréciation d’un cas particulier, les critères suivants ne sont pas décisifs (ch. 1029 DSD) : -       la nature juridique du rapport établi entre les parties. La notion de salaire déterminant se définit exclusivement d’après le droit de l’AVS. C’est une notion propre à ce domaine du droit. La notion du salaire déterminant est notamment plus large que celle du salaire au sens des dispositions régissant le contrat de travail. Elle englobe certes celui-ci : le salaire selon le droit du travail sera de toute manière considéré comme du salaire déterminant (ch. 1030 DSD).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décisif (ch. 1031 DSD). -       Les conventions ou accords portant sur la situation juridique AVS des parties (salariée ou indépendante) ou sur la qualification juridique d’une rétribution dans l’AVS (ch. 1032 DSD). -       Que l’intéressé exerce son activité à titre de profession principale ou accessoire et quelle est la profession principale de l’assuré. La rétribution qu’il s’agit de qualifier doit au contraire être considérée pour elle-même, c’est-à-dire être qualifiée d’après la situation dans laquelle l’assuré se trouve au moment même où il acquiert cette rétribution. Certaines rétributions peuvent ainsi faire partie du salaire déterminant même si elles sont attribuées à une personne dont la profession principale consiste en l’exercice d’une activité indépendante (ch. 1033 DSD). -       Le fait qu’un assuré soit affilié à une caisse de compensation en qualité de travailleur indépendant. La rétribution peut néanmoins faire partie du salaire déterminant (ch. 1034 DSD). -       Le fait qu’un salarié travaille simultanément pour plusieurs employeurs. Il n’en devient pas pour autant un assuré ayant une activité indépendante (ch. 1035 DSD). -       Le fait qu’un assuré se trouve, par rapport à une personne, déjà dans une situation indépendante ou dépendante. On ne peut simplement se baser sur le critère qui prédominerait dans l’activité prise dans son ensemble. Au contraire, un assuré peut, par rapport à une seule et même personne, se trouver simultanément dans une situation indépendante et dépendante. Ainsi, par exemple, l’entrepreneur, membre du conseil d’administration d’une société anonyme pour laquelle il effectue des travaux de construction ; de même, l’avocat qui mène un procès pour une société anonyme dont il est l’administrateur ou la médiamaticienne qui exerce une activité accessoire de journaliste en publiant dans la maison d’édition au service de laquelle elle se trouve (ch. 1036 DSD). -       Que la rémunération soit versée à titre volontaire ou en vertu d’une obligation légale ou contractuelle (ch. 1037 DSD). -       La qualification attribuée à tel ou tel revenu par l’autorité fiscale. En effet, le droit fiscal ne fait en principe pas la distinction entre le revenu de l’activité indépendante et celui de l’activité salariée. Seule l’application des règles, développées par la jurisprudence du Tribunal fédéral, concernant la double imposition intercantonale peut dans certains cas impliquer la nécessité de rechercher si le contribuable se trouve dans un rapport de subordination envers un tiers. Mais la réponse donnée à cette question par les règles destinées à éliminer les cas de double imposition n’est pas contraignante en matière d’AVS (ch. 1038 DSD).</w:t>
      </w:r>
    </w:p>
    <w:p>
      <w:r>
        <w:rPr>
          <w:b/>
        </w:rPr>
        <w:t>E. 5.1</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 130 I 183 consid. 3.2). Le devoir du juge de constater les faits pertinents ne dispense donc pas les parties de collaborer à l'administration des preuves en donnant des indications sur les faits de la cause ou en désignant des moyens de preuve (ATF 130 I 184 consid. 3.2 et 128 III 411 consid. 3.2).</w:t>
      </w:r>
    </w:p>
    <w:p>
      <w:r>
        <w:rPr>
          <w:b/>
        </w:rPr>
        <w:t>E. 5.2</w:t>
      </w:r>
    </w:p>
    <w:p>
      <w:r>
        <w:t>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 130 III 324 consid. 3.2 et 3.3). Aussi n'existe-t-il pas, en droit des assurances sociales, un principe selon lequel l'administration ou le juge devrait statuer, dans le doute, en faveur de l'assuré (ATF 126 V 322 consid. 5a).</w:t>
      </w:r>
    </w:p>
    <w:p>
      <w:r>
        <w:rPr>
          <w:b/>
        </w:rPr>
        <w:t>E. 7</w:t>
      </w:r>
    </w:p>
    <w:p>
      <w:r>
        <w:t>En l’espèce, la recourante conteste son affiliation par l’intimée en qualité de personne dépendante et soutient qu’elle doit être affiliée en qualité de personne indépendante pour son activité de revendeuse de produits cosmétiques, débutée le 1 er septembre 2023, sous la forme d’une entreprise individuelle.</w:t>
      </w:r>
    </w:p>
    <w:p>
      <w:r>
        <w:rPr>
          <w:b/>
        </w:rPr>
        <w:t>E. 7.1</w:t>
      </w:r>
    </w:p>
    <w:p>
      <w:r>
        <w:t>À teneur de ses écritures, il est constant que la recourante présente son activité liée à A______ comme une activité accessoire à son activité principale de médecin acupuncteur indépendante, exposant que ladite activité est intégrée à son activité médicale indépendante dès lors qu’elle utilise les mêmes locaux, les mêmes moyens d’exploitation et vise la même clientèle. Selon elle, ce n’est pas une activité parallèle distincte, ni un emploi au service d’un tiers étranger. Elle ajoute n’être liée par aucun contrat de travail avec A______, n’avoir aucun lien de subordination, aucun horaire, aucune instruction, aucune obligation de reporting , aucune obligation de volume et aucun stock. Elle perçoit des commissions d’apporteur d’affaires lorsque les patients qui sont informés lors d’une consultation commandent des produits sur le site de A______. Elle ajoute que les commissions sont rattachées à son revenu indépendant faisant l’objet d’une affiliation auprès de la FER CIAM. À teneur du contrat de « Brand affiliate » et de parrainage international conclu avec C______INC. avec siège dans l’État de l’Utah (États‑Unis), la recourante est désignée comme un entrepreneur indépendant autorisé par A______ à commercialiser les produits et recevoir des bonus conformément aux conditions du programme de performance des ventes. Sous lettre D du contrat, sont décrits les droits et obligations de la recourante en tant que « Entrepreneur indépendant ». Le contrat d’achat de produits propres aux pays de résidence conclu avec la filiale A______ sise en Belgique décrit plus précisément le processus d’achat et de vente des produits, ainsi que les modalités de paiement des bonus. L’OFAS a fixé dans les DSD un certain nombre de critères permettant d’identifier le statut d’indépendant ou de salarié. Le ch. 4013 définit les voyageurs de commerce (représentants, représentants de commerce, agents, etc .) au sens des présentes règles soit les personnes physiques qui, contre rémunération, concluent ou négocient la conclusion de contrats généralement au nom et pour le compte d’un tiers, en dehors des locaux commerciaux de ce tiers. Cette définition correspond prima facie à l’activité de la recourante qui propose, en dehors des locaux commerciaux de A______, la conclusion de contrats d’achat de produits à ses patients. La jurisprudence exposée sous ch. 3 supra rappelle que c’est la situation de fait qui est déterminante pour apprécier le statut au regard de l’AVS des personnes concluant des contrats pour des tiers ou intervenant comme intermédiaires. La nature de droit civil ainsi que la désignation et la façon dont le contrat est formulé ne sont pas décisives. Ainsi, la dénomination d’entrepreneur indépendant figurant dans le contrat de « Brand affiliate » et de parrainage international n’est pas décisive pour qualifier le statut de la recourante, pas plus que son activité indépendante de médecin, déjà affiliée auprès de la FER CIAM. Il ressort de la jurisprudence du Tribunal fédéral que le critère déterminant permettant d’identifier l’activité indépendante est celui du risque économique, or, selon la description de l’activité de la recourante, cette dernière ne supporte aucun risque économique. Elle ne fait pas appel à des employés pour commercialiser les produits de A______ et se contente de proposer les produits à sa patientèle, à la suite de la consultation. L’activité indépendante de médecin se termine au moment où celle d’intermédiaire commence, à savoir que la recourante, après la consultation, se livre à une activité totalement séparée de celle de médecin acupuncteur en proposant à ses patients des produits cosmétiques pour lesquels elle perçoit une commission, étant précisé qu’une telle activité ne demande aucune connaissance médicale particulière. Les commandes pouvant être effectuées via un site Internet, la recourante n’a fourni aucun investissement pour ladite activité, ce qu’elle ne soutient d’ailleurs pas. Elle ne supporte aucun risque économique, dès lors qu’elle se contente de percevoir des commissions sur les produits achetés, via le site internet, par ses clients. Dans un arrêt du 11 avril 2022, le « Tribunale cantonale delle assicurazioni » du canton du Tessin (référence 30.2022.1) a dû se prononcer sur le statut d’un voyageur de commerce qui prétendait exercer une activité indépendante de conseiller en assurances et dont l’activité peut être comparée, dans les grandes lignes, à celle de la présente espèce. Se fondant sur la jurisprudence du Tribunal fédéral en matière de risque économique, le tribunal cantonal a considéré que nonobstant la très grande liberté dans l’organisation et l’autonomie du recourant, ce dernier devait être considéré comme un travailleur dépendant. Il en est de même de la recourante, dès lors qu’elle ne prend aucun risque économique, n’a procédé à aucun investissement pour son activité et est intégrée dans l’organisation structurelle et commerciale de A______, sans disposer d’aucune autonomie pour fixer les prix des produits, gérer les aspects logistiques liés aux commandes, au stock et aux livraisons et facturer ses services ou percevoir les commissions, tous ces aspects étant fixés par les contrats passés avec A______ (Etats-Unis) et A______ (Belgique).</w:t>
      </w:r>
    </w:p>
    <w:p>
      <w:r>
        <w:rPr>
          <w:b/>
        </w:rPr>
        <w:t>E. 7.2</w:t>
      </w:r>
    </w:p>
    <w:p>
      <w:r>
        <w:t>Il convient encore d’examiner si des conditions permettent, exceptionnellement (ch. 4019 DSD), de reconnaître le statut d’indépendant à un voyageur de commerce. Selon le ch. 4020 DSD, il faut que les trois conditions cumulatives suivantes soient réunies : -     le voyageur de commerce utilise ses propres locaux commerciaux ou des locaux qu’il loue (bureaux, magasins, locaux d’exposition, de démonstration, etc . ; ne sont pas considérés comme des locaux commerciaux les locaux où loge le voyageur et où il gare des automobiles). Cette condition pourrait être éventuellement remplie, bien que les locaux loués par la recourante soient principalement destinés à son activité indépendante de médecin. Il n’est toutefois pas nécessaire de développer davantage l’analyse de cette condition dans la mesure où, comme cela ressort des considérants qui suivent, les deux autres conditions cumulatives ne sont pas remplies. -     Il occupe du personnel (personnel de bureau, sous-représentants etc . ; ne comptent pas comme personnel respectivement l’épouse ou l’époux ou le partenaire enregistré et les autres membres de la famille participant aux travaux sans toucher un salaire en espèces, de même que les employés de maison). À l’évidence, cette condition n’est pas remplie. -     Il supporte lui-même la majeure partie des frais généraux. Cette troisième condition n’est pas non plus remplie, les frais généraux étant infimes pour ne pas dire inexistants dans le cadre de l’activité accessoire de voyageur de commerce de la recourante qui se contente de proposer les produits figurant sur le site Internet de A______. Partant, les conditions prévues par les DSD pour admettre exceptionnellement une activité indépendante n’étant pas réunies, il se justifie de confirmer que l’affiliation de la recourante en qualité de personne dépendante est bien fondée.</w:t>
      </w:r>
    </w:p>
    <w:p>
      <w:r>
        <w:rPr>
          <w:b/>
        </w:rPr>
        <w:t>E. 7.3</w:t>
      </w:r>
    </w:p>
    <w:p>
      <w:r>
        <w:t>Dans un second grief, la recourante reproche à l’intimée de l’avoir affiliée « à double » en raison du fait qu’elle est déjà affiliée en qualité de médecin indépendante auprès de la FER CIAM. En ce qui concerne le statut de la société A______, l’art. 6 LAVS concerne les salariés dont l’employeur n’est pas tenu de cotiser (ANOBAG ou ANoBAG). Selon cette disposition, les salariés dont l’employeur n’est pas tenu de payer des cotisations versent des cotisations de 8.7% sur leur salaire déterminant (al. 1). Les cotisations des assurés dont l’employeur n’est pas tenu de payer des cotisations peuvent être perçues conformément à l’art. 14 al. 1, si l’employeur y consent. Le taux de cotisation s’élève alors à 4.35% du salaire déterminant pour chacune des parties (al. 2). À teneur du ch. 1042 des directives sur la perception des cotisations dans l’AVS, AI et APG (DP), sont des salariés dont l’employeur n’est pas tenu de cotiser les salariés dont l’employeur n’a ni domicile, ni siège, ni établissement stable en Suisse et n’est pas tenu de cotiser en vertu de l’Accord avec l’Union européenne (UE) ou de la Convention de l’AELE (art. 12 al. 2 et 3 LAVS), ce qui est le cas de la recourante au terme de l’analyse effectuée supra . En application des DAC et notamment de leur ch. 1051, les salariés travaillant en Suisse et dont l’employeur n’est pas tenu de verser des cotisations (employeur ayant son siège hors de la Suisse comme c’est le cas, en l’espèce) sont affiliés à la caisse de compensation du canton de leur domicile. Partant, en raison de son statut de distributrice dépendante d’une société ayant son siège en Belgique, l’affiliation auprès de la caisse se justifie, comme l’a d’ailleurs exposé la FER CIAM dans son courrier du 3 septembre 2024. La décision n’étant pas exécutoire nonobstant recours, les conclusions en demande de restitution de l’effet suspensif et en mesures provisionnelles ne seront pas examinées.</w:t>
      </w:r>
    </w:p>
    <w:p>
      <w:r>
        <w:rPr>
          <w:b/>
        </w:rPr>
        <w:t>E. 8.1</w:t>
      </w:r>
    </w:p>
    <w:p>
      <w:r>
        <w:t>Entièrement mal fondé, le recours est rejeté.</w:t>
      </w:r>
    </w:p>
    <w:p>
      <w:r>
        <w:rPr>
          <w:b/>
        </w:rPr>
        <w:t>E. 8.2</w:t>
      </w:r>
    </w:p>
    <w:p>
      <w:r>
        <w:t>Pour le surplus, en l’absence de loi spéciale prévoyant des frais judiciaires,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