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A/3369/2013 vom 30. Juni 2014</w:t>
      </w:r>
    </w:p>
    <w:p>
      <w:r>
        <w:t>GE Cour de justice, 2014-06-30, FR</w:t>
      </w:r>
    </w:p>
    <w:p>
      <w:r>
        <w:rPr>
          <w:b/>
        </w:rPr>
        <w:t xml:space="preserve">Quelle: </w:t>
      </w:r>
      <w:r>
        <w:t>https://mcp.opencaselaw.ch/entscheid/ge_gerichte_A_3369_2013</w:t>
      </w:r>
    </w:p>
    <w:p>
      <w:r>
        <w:t>FR: GE_GERICHTE A/3369/2013 du 30 juin 2014</w:t>
      </w:r>
    </w:p>
    <w:p>
      <w:r>
        <w:t>IT: GE_GERICHTE A/3369/2013 del 30 giugno 2014</w:t>
      </w:r>
    </w:p>
    <w:p>
      <w:pPr>
        <w:pStyle w:val="Heading2"/>
      </w:pPr>
      <w:r>
        <w:t>Erwägungen</w:t>
      </w:r>
    </w:p>
    <w:p>
      <w:r>
        <w:rPr>
          <w:b/>
        </w:rPr>
        <w:t>E. 21</w:t>
      </w:r>
    </w:p>
    <w:p>
      <w:r>
        <w:t>Par écriture du 21 octobre 2013, l’assurée a interjeté recours pour déni de justice auprès de la Cour de céans . ![endif]&gt;![if&gt; La recourante affirme n’avoir jamais reçu la décision du 23 février 2011, dont elle fait remarquer qu’elle n’a pas non plus été notifiée à son mandataire. La recourante allègue que son droit d’être entendue a été violé du fait que la décision du 23 février 2011 a été rendue avant qu’elle ou son mandataire ait pu déposer ses objections. Elle en tire la conclusion que pour cette seule raison déjà, la décision entreprise devrait être annulée . Elle reproche ensuite à l’intimé de ne pas avoir considéré ses objections du 24 février 2011 comme un recours qu’il aurait dû transmettre à l’autorité compétente. Elle soutient que cette décision ne figurait pas dans le dossier qui a été adressé à son mandataire le 1 er mars 2011 et que si elle figurait bien dans le nouveau CD-Rom envoyé le 26 novembre 2012, c’était dans les pièces se trouvant avant le courrier du 1 er mars 2011, raison pour laquelle elle a échappé à son mandataire, qui n’a imprimé que les pièces postérieures au 1er mars 2011. L’intimé se serait, selon elle, rendu coupable d’abus de droit. 22.    Invité à se déterminer, l’intimé, dans sa réponse du 19 novembre 2013, a conclu à l’irrecevabilité du recours. ![endif]&gt;![if&gt; En premier lieu, l’intimé conteste que sa décision du 23 février 2011 ait été prématurée puisqu’elle a été rendue 30 jours après le 24 janvier 2011. L’intimé fait en outre remarquer que le mandataire de l’assurée n’a été consulté qu’en date du 18 février 2011 et ne l’a informé de sa constitution qu’en date du 24 février 2011. L’intimé soutient par ailleurs que la décision du 23 février 2011 figurait déjà au dossier avant le 1 er mars 2011, l’original de la décision ayant été créé et généré au dossier en date du 23 février 2011 (pce 47 intimé). Il ajoute que, quand bien même cela n’aurait pas été le cas, la décision figurait en tous les cas dans le dossier transmis le 26 novembre 2012 à l’avocat de la recourante, lequel ne saurait se retrancher derrière une soi-disant logique pour excuser son manque de vigilance. 23.    Par écriture du 23 décembre 2013, la recourante a persisté dans ses conclusions.![endif]&gt;![if&gt;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Se pose en premier lieu la question de la recevabilité du recours. ![endif]&gt;![if&gt; La recourante soutient n’avoir jamais reçu la décision du 23 février 2011. Elle reproche à l’intimé de ne pas l’avoir notifiée à son mandataire, chez qui elle avait élu domicile, soutient qu’elle ne figurait pas dans le premier CD-rom qui lui a été adressé et qu’elle ne figurait pas au bon endroit – chronologiquement parlant - dans le second, raison pour laquelle elle a échappé à son mandataire, qui a cru pouvoir se contenter de n’imprimer que les pièces postérieures au 1 er mars 2011. L’intimé conclut quant à lui à l’irrecevabilité du recours en faisant remarquer qu’il n’avait pas encore été informé de la constitution de l’avocat lorsque la décision litigieuse a été notifiée et en s’étonnant que l’assurée n’ait pas interjeté recours à tout le moins dans les 30 jours qui ont suivi l’envoi du second CD-rom. Il est vrai qu’en se contentant de n’imprimer qu’une partie du second CD-rom sans vérifier – ne serait-ce qu’à l’écran – le contenu du reste du dossier, le conseil de la recourante n’a pas fait preuve du minimum de vigilance que l’on est en droit d’attendre d’un mandataire professionnellement qualifié. Peu importe cependant, en l’occurrence, puisqu’il n’en demeure pas moins que l’assurée, par le biais de son mandataire, a clairement fait part de ses objections à l’intimé, par courrier du 24 février 2011. Certes, ce courrier était dirigé contre le projet de décision. Il n’en demeure pas moins que, postérieur à la décision formelle du 23 février 2011 et manifestant clairement le désaccord de l’assurée qui concluait déjà à l’octroi d’une rente, il aurait dû être considéré par l’intimé comme un recours et transmis en tant que tel au Tribunal cantonal comme objet de sa compétence, en vertu de l’art. 11 al. 3 LPA, selon lequel l’autorité qui décline sa compétence doit transmettre d’office l’affaire à l’autorité compétente et en aviser les parties. C’est à tort que l’intimé n’a pas répondu à cette injonction légale. Par conséquent, l’écriture du 24 février 2011 doit être considérée comme un recours intervenu dans les forme et délai prescrits par la loi et par conséquent recevable. La Cour de céans entrera donc en matière. 4.        La recourante se plaint ensuite d’une violation de son droit d’être entendue, motif pris que la décision litigieuse a été rendue avant qu’elle ou son mandataire ait pu déposer ses objections. Elle en tire la conclusion que pour cette seule raison déjà, la décision entreprise devrait être annulée. ![endif]&gt;![if&gt; 5.        a) À teneur de l’art. 57a al. 1er LAI, en vigueur depuis le 1er juillet 2006,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LPGA.![endif]&gt;![if&gt; La jurisprudence, rendue sous l’empire de l’art. 4 aCst.,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toutefois, la violation du droit d’être entendu – pour autant qu’elle ne soit pas d’une gravité particulière – est réparée lorsque la partie lésée a la possibilité de s’exprimer devant une autorité de recours jouissant d’un plein pouvoir d’examen (ATF 127 V 437 consid. 3d/aa, 126 V 132 consid. 2b et les références). Aux termes de l’art. 73ter du règlement du 17 janvier 1961 sur l’assurance-invalidité (RAI ; RS 831.201), les parties peuvent faire part à l’office AI de leurs observations sur le préavis dans un délai de trente jours (al. 1er). L’assuré peut communiquer ses observations à l’office AI par écrit ou oralement, lors d’un entretien personnel. Si l’audition à lieu oralement, l’office AI établit un procès-verbal sommaire qui est signé par l’assuré (al. 2). L’art. 74 RAI prévoit ensuite que l’instruction de la demande achevée, l’office AI se prononce sur la demande de prestations (al. 1er). La motivation tient compte des observations qui ont été faites par les parties sur le préavis, pour autant qu’elles portent sur des points déterminants (al. 2). Enfin, l’art. 38 LPGA dispose que si le délai, compté par jours ou par mois, doit être communiqué aux parties, il commence à courir le lendemain de la communication (al. 1er). Les délais en jours ou en mois fixés par la loi ou par l’autorité ne courent pas du 7e jour avant Pâques au 7e jour après Pâques inclusivement (al. 4 let. a). b) En l’espèce, il apparaît que le projet de décision du 24 janvier 2011 n’a pu être notifié à la recourante que le lendemain au plus tôt, de sorte que le délai échouant à cette dernière pour faire part de ses observations a commencé ainsi à courir le 26 janvier 2011 pour venir à échéance le 24 février suivant. Partant, les observations postées par le conseil de la recourante le 24 février 2011 l’ont été dans le respect du délai et c’est à tort que l’OAI a rendu sa décision finale sans en attendre l’échéance. Ce faisant, il n’a pas pu tenir compte des observations valablement formulées par la recourante, et il a ainsi, de facto, violé son droit d’être entendue. Cela dit, la Cour de céans dispose d’un large pouvoir d’examen, de sorte que la possibilité offerte à la recourante de s’exprimer pleinement dans le cadre de la présente procédure permet de considérer que cette violation de son droit d’être entendue a été réparée. La chambre de céans est en outre d’avis qu’il se justifie, par souci d’économie de procédure, de ne pas annuler la décision et renvoyer la cause à l’intimé pour ce seul motif, dès lors que l’examen du litige peut conduire à la même solution si le recours s’avère fondé. 6.        Le litige porte sur la question du droit de l'assurée à une rente de l'assurance-invalidité.![endif]&gt;![if&gt; 7.        a) Se pose en premier lieu la question de savoir quel statut il convient d'accorder à l'assurée. L'intimé l’a considérée comme active à 70%, ce que le conseil de la recourante a contesté totalement dans un premier temps avant de concéder dans ses écritures ultérieures que sa mandante aurait continué à travailler à 70% jusqu’au 31 août 2011, date à compter de laquelle elle aurait augmenté son temps de travail à 100% si son état de santé le lui avait permis. ![endif]&gt;![if&gt;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8.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![endif]&gt;![if&gt;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relatives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9.        En l'espèce, il est constant que la recourante a réduit son taux d’activité à 70% à la naissance de son fils, avant que l’atteinte à sa santé ne se manifeste. ![endif]&gt;![if&gt; Tout au long de l’instruction par l’intimé, notamment à la division de réadaptation professionnelle et à l’enquêtrice ménagère, la recourante a affirmé qu’en bonne santé, elle aurait continué à travailler à 70% pour des raisons familiales. Ce n’est qu’après qu’a été rendu le projet de décision que son conseil a allégué pour la première fois qu’elle aurait travaillé à plein temps, d’abord sans nuances, puis en précisant que cela aurait été à partir du 1 er septembre 2011 - sans avancer la moindre explication quant aux motifs qui auraient présidé à un changement à ce moment-là. Eu égard aux circonstances, la Cour de céans considère qu’il n’a pas été établi au degré de vraisemblance prépondérante requis qu’à compter de septembre 2011, la recourante – si sa santé le lui avait permis – aurait augmenté son taux d’occupation à 100%. C’est donc à juste titre que l’intimé l’a considérée comme active à 70%. Sur ce point, le recours est rejeté. 10.    La recourante ne conteste pas les conclusions de l’enquête ménagère. Il convient donc de s’y référer et d’admettre un empêchement de 43,5% dans la sphère ménagère, ce qui conduit à un degré d’invalidité de 13,05% (43,5% de 30%) sur ce plan. ![endif]&gt;![if&gt; 11.    Reste à examiner le degré d’invalidité dans la sphère professionnelle (70%). ![endif]&gt;![if&gt; La recourante ne conteste pas la capacité résiduelle de travail unanimement reconnue par les médecins (50%) mais soutient qu’une réduction de 15% aurait dû s’appliquer pour tenir compte de l’influence des efforts consentis dans l’autre domaine d’activité au titre d’effet réciproque. Ainsi, son taux d’activité devrait selon elle être réduit à dix-sept, quatre-vingt-cinq heures/sem. (vingt et une heures – 15%), ce qui conduirait à un empêchement professionnel de 40,05% correspondant à un taux d’invalidité de 28% dans la sphère professionnelle. 12.    Il est vrai que le Tribunal fédéral a considéré que, dans certaines circonstances bien définies, il pouvait être tenu compte de la diminution de la capacité d'exercer une activité lucrative ou d'accomplir les travaux habituels en raison des efforts consentis dans l'autre domaine d'activité (arrêt 9C_713/2007 du 8 aout 2008, consid. 4 ; ATF 134 V 9 ; voir également arrêt I 156/04 du 13 décembre 2005, consid. 6.2, publié in SVR 2006 IV n° 42 p. 151).![endif]&gt;![if&gt; Selon notre Haute Cour, lorsqu'il s'agit d'examiner dans quelle mesure les efforts fournis dans l'un et l'autre domaine d'activités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pas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13.     En l’espèce, force est de constater que les circonstances ne permettent pas d’appliquer la jurisprudence invoquée par la recourante. En effet, cette dernière exerçant la profession de gestionnaire de fortune, on ne saurait sérieusement prétendre que les deux domaines d’activités (professionnel et ménager) présentent des profils d'exigences similaires.![endif]&gt;![if&gt; Au surplus, il n’apparaît pas que les rapports médicaux et l’enquête ménagère auraient été établis en méconnaissance de la situation prévalant dans l'un et l'autre champ d'activité. Il n’y a pas non plus d’indices concrets plaidant en faveur d'une diminution de la capacité d'exercer une activité en raison des efforts consentis dans l'autre activité, en dehors d’une fatigue alléguée mais dont tant les médecins que l’enquêtrice ménagère ont tenu compte dans leurs appréciations respectives. Enfin, la diminution de l'aptitude à exercer une activité lucrative résultant des efforts consentis dans l'autre domaine d'activité n’apparaît pas manifestement dépasser la normale. Eu égard à ces considérations, c’est en vain que la recourante conteste le degré d’invalidité retenu dans la sphère professionnelle, et, partant, le degré d’invalidité globale, lequel a été à juste titre évalué à 34%, ce qui est insuffisant pour ouvrir droit à une rente. En conséquence,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