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A/3367/2020 vom 15. Dezember 2020</w:t>
      </w:r>
    </w:p>
    <w:p>
      <w:r>
        <w:t>GE Cour de justice, 2020-12-15, FR</w:t>
      </w:r>
    </w:p>
    <w:p>
      <w:r>
        <w:rPr>
          <w:b/>
        </w:rPr>
        <w:t xml:space="preserve">Quelle: </w:t>
      </w:r>
      <w:r>
        <w:t>https://mcp.opencaselaw.ch/entscheid/ge_gerichte_A_3367_2020</w:t>
      </w:r>
    </w:p>
    <w:p>
      <w:r>
        <w:t>FR: GE_GERICHTE A/3367/2020 du 15 décembre 2020</w:t>
      </w:r>
    </w:p>
    <w:p>
      <w:r>
        <w:t>IT: GE_GERICHTE A/3367/2020 del 15 dicembre 2020</w:t>
      </w:r>
    </w:p>
    <w:p>
      <w:pPr>
        <w:pStyle w:val="Heading2"/>
      </w:pPr>
      <w:r>
        <w:t>Regeste</w:t>
      </w:r>
    </w:p>
    <w:p>
      <w:r>
        <w:t>DÉCISION SUR OPPOSITION;DÉPENS;DÉBAT DU TRIBUNAL;PUBLICITÉ DE LA PROCÉDURE;MOTIVATION DE LA DÉCISION | La cause de la recourante s’inscrivait dans un contexte de trente-six procédures identiques. Seules trois causes avaient été instruites. La procédure avait abouti à un arrêt rayant la cause du rôle, celle-ci étant devenue sans objet, compte tenu d'une modification législative. Les écritures s’inscrivaient dans un ordre de grandeur habituel pour un recours et le litige n’était pas d’une complexité juridique particulière. Au vu des trente-six arrêts, la chambre de céans avait octroyé trente trois fois CHF 300.-, soit un total de CHF 9'900.- pour les causes non pilote et trois fois CHF 2'000.- pour les causes pilote, soit CHF 6'000.- au total, ce qui représente CHF 15'900.-. Ces montants sont largement supérieurs à la pratique habituelle de la chambre administrative et se justifient par le nombre de procédures, celles-ci étant toutefois strictement identiques. Enfin, Le montant des indemnités alloué n’est, conformément à la jurisprudence, qu’une participation aux honoraires du conseil. Réclamation rejetée. | LPA.87.al4; CEDH.6; LPA.87.al2; RFPA.6</w:t>
      </w:r>
    </w:p>
    <w:p>
      <w:pPr>
        <w:pStyle w:val="Heading2"/>
      </w:pPr>
      <w:r>
        <w:t>Volltext</w:t>
      </w:r>
    </w:p>
    <w:p>
      <w:r>
        <w:t>Genève Cour de justice (Cour de droit public) Chambre administrative 15.12.2020 A/3367/2020</w:t>
      </w:r>
    </w:p>
    <w:p>
      <w:r>
        <w:t>DÉCISION SUR OPPOSITION;DÉPENS;DÉBAT DU TRIBUNAL;PUBLICITÉ DE LA PROCÉDURE;MOTIVATION DE LA DÉCISION | La cause de la recourante s’inscrivait dans un contexte de trente-six procédures identiques. Seules trois causes avaient été instruites. La procédure avait abouti à un arrêt rayant la cause du rôle, celle-ci étant devenue sans objet, compte tenu d'une modification législative. Les écritures s’inscrivaient dans un ordre de grandeur habituel pour un recours et le litige n’était pas d’une complexité juridique particulière. Au vu des trente-six arrêts, la chambre de céans avait octroyé trente trois fois CHF 300.-, soit un total de CHF 9'900.- pour les causes non pilote et trois fois CHF 2'000.- pour les causes pilote, soit CHF 6'000.- au total, ce qui représente CHF 15'900.-. Ces montants sont largement supérieurs à la pratique habituelle de la chambre administrative et se justifient par le nombre de procédures, celles-ci étant toutefois strictement identiques. Enfin, Le montant des indemnités alloué n’est, conformément à la jurisprudence, qu’une participation aux honoraires du conseil. Réclamation rejetée. | LPA.87.al4; CEDH.6; LPA.87.al2; RFPA.6</w:t>
      </w:r>
    </w:p>
    <w:p>
      <w:r>
        <w:t>A/3367/2020 ATA/1262/2020 du 15.12.2020 ( PROC ) , REJETE Descripteurs : DÉCISION SUR OPPOSITION;DÉPENS;DÉBAT DU TRIBUNAL;PUBLICITÉ DE LA PROCÉDURE;MOTIVATION DE LA DÉCISION Normes : LPA.87.al4; CEDH.6; LPA.87.al2; RFPA.6 Résumé : La cause de la recourante s’inscrivait dans un contexte de trente-six procédures identiques. Seules trois causes avaient été instruites. La procédure avait abouti à un arrêt rayant la cause du rôle, celle-ci étant devenue sans objet, compte tenu d'une modification législative. Les écritures s’inscrivaient dans un ordre de grandeur habituel pour un recours et le litige n’était pas d’une complexité juridique particulière. Au vu des trente-six arrêts, la chambre de céans avait octroyé trente trois fois CHF 300.-, soit un total de CHF 9'900.- pour les causes non pilote et trois fois CHF 2'000.- pour les causes pilote, soit CHF 6'000.- au total, ce qui représente CHF 15'900.-. Ces montants sont largement supérieurs à la pratique habituelle de la chambre administrative et se justifient par le nombre de procédures, celles-ci étant toutefois strictement identiques. Enfin, Le montant des indemnités alloué n’est, conformément à la jurisprudence, qu’une participation aux honoraires du conseil. Réclamation rejetée. En fait En droit RÉPUBLIQUE ET CANTON DE GENÈVE POUVOIR JUDICIAIRE A/3367/2020 - PROC ATA/ 1262/2020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