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A/3360/2016 vom 17. Januar 2017</w:t>
      </w:r>
    </w:p>
    <w:p>
      <w:r>
        <w:t>GE Cour de justice, 2017-01-17, FR</w:t>
      </w:r>
    </w:p>
    <w:p>
      <w:r>
        <w:rPr>
          <w:b/>
        </w:rPr>
        <w:t xml:space="preserve">Quelle: </w:t>
      </w:r>
      <w:r>
        <w:t>https://mcp.opencaselaw.ch/entscheid/ge_gerichte_A_3360_2016</w:t>
      </w:r>
    </w:p>
    <w:p>
      <w:r>
        <w:t>FR: GE_GERICHTE A/3360/2016 du 17 janvier 2017</w:t>
      </w:r>
    </w:p>
    <w:p>
      <w:r>
        <w:t>IT: GE_GERICHTE A/3360/2016 del 17 gennaio 2017</w:t>
      </w:r>
    </w:p>
    <w:p>
      <w:pPr>
        <w:pStyle w:val="Heading2"/>
      </w:pPr>
      <w:r>
        <w:t>Erwägungen</w:t>
      </w:r>
    </w:p>
    <w:p>
      <w:r>
        <w:rPr>
          <w:b/>
        </w:rPr>
        <w:t>E. 1</w:t>
      </w:r>
    </w:p>
    <w:p>
      <w:r>
        <w:t>ère Chambre En la cause Monsieur A______, domicilié à ONEX recourant contre SERVICE DES PRESTATIONS COMPLÉMENTAIRES, sis route de Chêne 54, GENÈVE intimé EN FAIT 1.        Monsieur A______ (ci-après l’assuré) a déposé une demande de prestations complémentaires familiales auprès du service des prestations complémentaires (ci-après SPC) le 9 février 2016. ![endif]&gt;![if&gt; 2.        Par décision du 6 avril 2016, des prestations complémentaires familiales lui ont été accordées à compter du 1 er février 2016.![endif]&gt;![if&gt; 3.        Par décision du 18 juillet 2016, confirmée sur opposition le 15 septembre 2016, son droit aux prestations a été recalculé. Le SPC lui a réclamé le remboursement de la somme de CHF 573.-, représentant les prestations versées à tort du 1 er février au 31 juillet 2016.![endif]&gt;![if&gt; 4.        L’assuré a interjeté recours contre la décision sur opposition le 25 septembre 2016. Il déclare avoir été de bonne foi durant tous ces mois et répète que la restitution de la somme demandée mettrait sa famille dans une situation extrêmement difficile.![endif]&gt;![if&gt; 5.        Dans sa réponse du 1 er novembre 2016, le SPC a relevé que l’assuré ne contestait ni le bien-fondé de l’obligation de restituer, ni le montant devant être remboursé. Ses arguments ne portaient que sur sa bonne foi et sa situation financière difficile. Le SPC conclut dès lors à ce que le recours soit considéré comme une demande de remise de l’obligation de restituer le montant de CHF 573.- et à ce qu’il lui soit transmis comme objet de sa compétence.![endif]&gt;![if&gt; 6.        Le 18 novembre 2016, l’assuré a précisé que « j’ai souhaité dès le départ faire valoir expressément et simplement l’art. 25 al. 1 2 ème phrase de la LPGA en demandant la remise de l’obligation de restituer des prestations que je ne pensais nullement avoir indûment touchées mais que j’ai reçues de bonne foi, car la restitution placerait ma famille dans une situation financière très difficiles ».![endif]&gt;![if&gt; 7.        Ce courrier a été transmis au SPC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Les PCFam ont été introduites dans la législation genevoise par une loi 10600 modifiant la LPCC, adoptée le 11 février 2011, entrée en vigueur le 1 er novembre 2012. Selon l’art. 1A al. 2 LPCC, elles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d’exécution.![endif]&gt;![if&gt; 4.        Interjeté dans les formes (art. 61 let. b LPGA) et délais prévus par la loi (art. 43 LPCC ; art. 56 ss LPGA), le recours est recevable.![endif]&gt;![if&gt; 5.        Il s’agit préalablement de déterminer l’objet du litige. Il convient à cet égard de relever que l’assuré ne conteste pas avoir reçu des prestations à tort. Il ne conteste pas non plus le montant fixé par le SPC. Il fait en revanche valoir qu’il était de bonne foi et que sa situation financière ne lui permettrait pas de rembourser le montant réclamé.![endif]&gt;![if&gt; Il y a dès lors lieu de considérer que la décision du 15 septembre 2016 fixant le principe et l’étendue de l’obligation de restituer est entrée en force, et partant, que l’objet du litige est limité à la question de savoir si la remise de l’obligation de restituer la somme de CHF 573.- peut être ou non accordée à l’assuré. 6.        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 ![endif]&gt;![if&gt; 7.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 ![endif]&gt;![if&gt; 8.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![endif]&gt;![if&gt; 9.        Force est en l’espèce de constater que le SPC n’a pas rendu de décision quant à la remise de l’obligation de restituer et n’a plus particulièrement pas répondu à la question de savoir si les deux conditions cumulatives, soit la bonne foi de l’assuré et sa situation financière difficile, étaient réalisées.![endif]&gt;![if&gt; 10.    Il se justifie dès lors de considérer que le recours interjeté par l’assuré vaut en réalité demande de remise, et de renvoyer la cause au SPC comme objet de sa compétence.![endif]&gt;![if&gt;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