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A/335/2007 vom 18. Dezember 2007</w:t>
      </w:r>
    </w:p>
    <w:p>
      <w:r>
        <w:t>GE Cour de justice, 2007-12-18, FR</w:t>
      </w:r>
    </w:p>
    <w:p>
      <w:r>
        <w:rPr>
          <w:b/>
        </w:rPr>
        <w:t xml:space="preserve">Quelle: </w:t>
      </w:r>
      <w:r>
        <w:t>https://mcp.opencaselaw.ch/entscheid/ge_gerichte_A_335_2007</w:t>
      </w:r>
    </w:p>
    <w:p>
      <w:r>
        <w:t>FR: GE_GERICHTE A/335/2007 du 18 décembre 2007</w:t>
      </w:r>
    </w:p>
    <w:p>
      <w:r>
        <w:t>IT: GE_GERICHTE A/335/2007 del 18 dicembre 2007</w:t>
      </w:r>
    </w:p>
    <w:p>
      <w:pPr>
        <w:pStyle w:val="Heading2"/>
      </w:pPr>
      <w:r>
        <w:t>Erwägungen</w:t>
      </w:r>
    </w:p>
    <w:p>
      <w:r>
        <w:rPr>
          <w:b/>
        </w:rPr>
        <w:t>E. 2</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1 er décembre 2006, mais statuant sur un état de fait juridiquement déterminant remontant essentiellement à l'année 2002, le présent litige sera examiné à la lumière des anciennes dispositions de la LAI pour la période s'étendant jusqu'au 31 décembre 2002 et, le cas échéant, au regard des nouvelles dispositions de la LPGA pour la période postérieure (ATF 130 V 332 consid. 2.2 et 2.3).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 Le litige porte sur le droit de l'assuré à des prestations AI.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w:t>
      </w:r>
    </w:p>
    <w:p>
      <w:r>
        <w:rPr>
          <w:b/>
        </w:rPr>
        <w:t>E. 7</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8</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l'espèce, l'assuré conteste le taux de la capacité résiduelle de travail de 50% que l'intimé a retenu dans le cadre d'une activité légère, sur la base du rapport d'expertise rédigé par le Dr M_________. Dans son rapport du 29 octobre 2004, le Dr M_________ a retenu les diagnostics de status après fracture verticale externe de la rotule gauche compliquée par une algoneurodystrophie de Südeck ainsi que l'évolution secondaire d'une arthrose post-traumatique, depuis le 15 août 2001. Il a également fait allusion à des lombalgies fonctionnelles présentes depuis début 2004, lesquelles sont toutefois sans répercussion sur la capacité de travail. Il a considéré que si l'on s'attachait aux éléments objectifs, une capacité théorique actuelle de travail de 50% dans une activité permettant une position assise alternée avec des déplacements peu importants et à l'absence de charge serait possible, le pronostic étant toutefois réservé.</w:t>
      </w:r>
    </w:p>
    <w:p>
      <w:r>
        <w:rPr>
          <w:b/>
        </w:rPr>
        <w:t>E. 11</w:t>
      </w:r>
    </w:p>
    <w:p>
      <w:r>
        <w:t>L'assuré a critiqué le rapport d'expertise du Dr M_________, en tant qu'il n'est pas suffisamment motivé. Il relève à cet égard que l'expert n'explique pas à quel type d'activité il se réfère lorsqu'il affirme qu'il pourrait travailler à 50%. Le Tribunal de céans constate cependant que le rapport d'expertise du Dr M_________ se fonde sur des examens approfondis. Il a été établi en pleine connaissance de l'anamnèse et du dossier de l'assuré. Le Dr M_________ a pris en considération les plaintes exprimées par l'assuré. La description et l'appréciation de la situation médicale sont claires. L'expert s'est exprimé sur l'évolution de l'état de santé, sur la capacité de travail et sur les limitations fonctionnelles, enfin, il a dûment motivé son point de vue. Ses conclusions sont cohérentes et convaincantes. Il décrit précisément quelles sont les limitations fonctionnelles présentées par l'assuré. Aussi doit-on admettre que son rapport d'expertise répond aux critères posés par la jurisprudence relative à la valeur probante des avis médicaux. Il reste à examiner s'il existe un indice concret permettant de mettre en cause le bien-fondé de ses conclusions. L'assuré se réfère à l'avis de son médecin traitant, selon lequel son incapacité de travail est totale. Le Tribunal de céans constate en réalité que dans son rapport du 5 avril 2006, le Dr O_________ a indiqué que l'incapacité de travail de son patient était entière depuis le 15 août 2001 en tant qu'aide-maçon, ce qui est confirmé par le Dr M_________, et ajouté que l'état de santé s'aggravait. Le Dr O_________ ne se prononce pas sur la capacité résiduelle de travail dans une activité adaptée, se contentant de déclarer que "le pronostic me paraît tout à fait médiocre quant à l'éventualité d'une reprise de travail, aussi léger soit-il". Cette observation au demeurant succincte n'est pas suffisante pour que l'on s'écarte des conclusions de l'expert, étant rappelé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Force est ainsi de constater que l'appréciation médicale du Dr M_________ sur laquelle s'est fondée l'OCAI doit être retenue. Elle ne fait du reste que confirmer les conclusions du Dr L_________ datées du 11 mai 2004. Par ailleurs, s'agissant de l'aspect psychiatrique, la Dresse N_________ n'a observé aucune atteinte à la santé. Il y a par ailleurs lieu de rappeler que l'on ne peut parler d'invalidité lorsque l'incapacité de gain n'a pas été provoquée par une atteinte à la santé (art. 8 LPGA), mais par d'autres facteurs, notamment pour des raisons inhérentes à la personnalité de la personne assurée, par exemple un manque d'ardeur au travail, une formation insuffisante (RCC 1989 p. 322 ; RCC 1980, p. 260) ou des connaissances linguistiques limitées (RCC 1988 p. 503 ; Circulaire de l'OFAS concernant l'invalidité et l'impotence No 1026). Reste à déterminer le degré d'invalidité.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(ci-après ESS;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l'occurrence, l'OCAI a correctement procédé à la comparaison des gains sur la base d'une capacité de travail de 50% dans une activité légère, ce conformément aux dispositions légales et réglementaires applicables et à la jurisprudence fédérale. Il a pris en considération un taux d'abattement supplémentaire de 10%. L'assuré l'estime insuffisant, considérant qu'un abattement de 20% serait plus adéquat. Il convient à cet égard de rappeler que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le Tribunal de céans est d'avis, au vu de la jurisprudence sus-évoquée, qu'un 10% suffit à prendre en considération les limitations présentées par l'assuré et le temps partiel. Le degré d'invalidité retenu par l'OCAI, et, partant, le droit à une demi-rente, doivent dès lors être confirmés. S'agissant enfin du placement, il y a lieu de relever que l'art. 18 al. 1 LAI a été modifié lors de la 4ème révision de la LAI. Aux termes de l'art. 18 al. 1 première phrase LAI (dans sa nouvelle teneur en vigueur depuis le 1er janvier 2004), les assurés invalides qui sont susceptibles d'être réadaptés ont droit à un soutien actif dans la recherche d'un emploi approprié, et, s'ils en ont déjà un, à un conseil suivi afin de le conserver. 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(dans sa nouvelle teneur en vigueur depuis le 1er janvier 2004) a donc étendu les droits des assurés à l'égard des offices AI en matière d'aide au placement (SVR 2006 IV Nr. 45 consid. 4.2 p. 164 [I 427/05];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 (Jean-Louis DUC, L'assurance-invalidité, in: Schweizerisches Bundesverwaltungsrecht [SBVR], Soziale Sicherheit, 2ème édition, ch. 153 et la note n° 210). Le droit au service de placement présuppose que la mesure soit appropriée au but de réadaptation poursuivi par l'assurance-invalidité, tant objectivement en ce qui concerne la mesure que subjectivement en ce qui concerne l'assuré (SVR 2006 IV Nr. 45 consid. 4.1.1 p. 164). En effet, une mesure de réadaptation ne saurait être efficace que si la personne à laquelle elle est destinée est susceptible, au moins partiellement, d'être réadaptée (MEYER-BLASER, op. cit. p. 85; VSI 2002 consid. 2 p. 112 [I 370/98]). Il appartiendra à l'assuré de solliciter, le cas échéant, une telle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