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A/3352/2022 vom 21. Juni 2023</w:t>
      </w:r>
    </w:p>
    <w:p>
      <w:r>
        <w:t>GE Cour de justice, 2023-06-21, FR</w:t>
      </w:r>
    </w:p>
    <w:p>
      <w:r>
        <w:rPr>
          <w:b/>
        </w:rPr>
        <w:t xml:space="preserve">Quelle: </w:t>
      </w:r>
      <w:r>
        <w:t>https://mcp.opencaselaw.ch/entscheid/ge_gerichte_A_3352_2022</w:t>
      </w:r>
    </w:p>
    <w:p>
      <w:r>
        <w:t>FR: GE_GERICHTE A/3352/2022 du 21 juin 2023</w:t>
      </w:r>
    </w:p>
    <w:p>
      <w:r>
        <w:t>IT: GE_GERICHTE A/3352/2022 del 21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en temps utile, le recours est recevable (art. 60 LPGA).![endif]&gt;![if&gt;</w:t>
      </w:r>
    </w:p>
    <w:p>
      <w:r>
        <w:rPr>
          <w:b/>
        </w:rPr>
        <w:t>E. 3</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l’augmentation du droit à la rente de la recourante dès le 15 avril 2016, en raison d’une aggravation de son état de santé qui serait survenue antérieurement au 31 décembre 2021, de sorte que les dispositions légales applicables seront citées dans leur ancienne teneur.</w:t>
      </w:r>
    </w:p>
    <w:p>
      <w:r>
        <w:rPr>
          <w:b/>
        </w:rPr>
        <w:t>E. 4</w:t>
      </w:r>
    </w:p>
    <w:p>
      <w:r>
        <w:t>![endif]&gt;![if&gt;</w:t>
      </w:r>
    </w:p>
    <w:p>
      <w:r>
        <w:rPr>
          <w:b/>
        </w:rPr>
        <w:t>E. 4.1</w:t>
      </w:r>
    </w:p>
    <w:p>
      <w:r>
        <w:t>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1 RAI, l’augmentation de la rente prend effet, si la révision est demandée par l’assuré, au plus tôt dès le mois où cette demande est présentée (let. a), si la révision a lieu d’office, dès le mois pour lequel celle-ci avait été prévue (let. b).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4.2</w:t>
      </w:r>
    </w:p>
    <w:p>
      <w:r>
        <w:t>![endif]&gt;![if&gt;</w:t>
      </w:r>
    </w:p>
    <w:p>
      <w:r>
        <w:rPr>
          <w:b/>
        </w:rPr>
        <w:t>E. 4.2.1</w:t>
      </w:r>
    </w:p>
    <w:p>
      <w:r>
        <w:t>Le taux d’invalidité pour les assurés qui accomplissent des travaux habituels à plein temps est déterminé au moyen de la méthode de comparaison des types d’activités prévue à l’art. 28 a al. 2 LAI.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45).![endif]&gt;![if&gt;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4.2.2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2007).![endif]&gt;![if&gt;</w:t>
      </w:r>
    </w:p>
    <w:p>
      <w:r>
        <w:rPr>
          <w:b/>
        </w:rPr>
        <w:t>E. 4.2.3</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référence).![endif]&gt;![if&gt;</w:t>
      </w:r>
    </w:p>
    <w:p>
      <w:r>
        <w:rPr>
          <w:b/>
        </w:rPr>
        <w:t>E. 4.2.4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références).![endif]&gt;![if&gt;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 Dans sa jurisprudence, la chambre de céans a retenu une exigibilité de 32.5% pour un conjoint économiquement inactif entièrement valide et une fille majeure étudiante ( ATAS/518/2021 du 27 mai 2021 consid. 16) ; 29.45 % pour un mari entièrement invalide et un fils majeur économiquement actif ( ATAS/748/2020 du 8 septembre 2020 consid. 14) ; 27.6 % pour un seul conjoint pleinement valide exerçant une activité indépendante (arrêt du Tribunal fédéral 9C_65/2020 du 29 avril 2020 consid. 5) ; 30% pour un époux et deux enfants majeurs ( ATAS/358/2018 du 25 avril 2018 consid. 18) ; 26.5% pour une fille majeure étudiante (arrêt du Tribunal fédéral 9C_666/2016 du 23 janvier 2017 consid. 5.2.2 [et ATAS/696/2016 du 25 août 2016 consid. 12b]) ; entre 12.9% et 18.55% pour un ménage comportant toujours au minimum une personne majeure économiquement inactive autre que l’assuré (arrêt du Tribunal fédéral 9C_785/2014 du 30 septembre 2015 consid. 3.3).</w:t>
      </w:r>
    </w:p>
    <w:p>
      <w:r>
        <w:rPr>
          <w:b/>
        </w:rPr>
        <w:t>E. 4.3</w:t>
      </w:r>
    </w:p>
    <w:p>
      <w:r>
        <w:t>![endif]&gt;![if&gt;</w:t>
      </w:r>
    </w:p>
    <w:p>
      <w:r>
        <w:rPr>
          <w:b/>
        </w:rPr>
        <w:t>E. 4.3.1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4.3.2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4.4</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w:t>
      </w:r>
    </w:p>
    <w:p>
      <w:r>
        <w:rPr>
          <w:b/>
        </w:rPr>
        <w:t>E. 5</w:t>
      </w:r>
    </w:p>
    <w:p>
      <w:r>
        <w:t>En l’espèce, les parties ne contestent pas la valeur probante de l’expertise de la Dre D______, qui répond aux réquisits lui permettant de se voir reconnaître une telle valeur. Celle-ci a évalué les empêchements de la recourante dans le ménage à 80%, en retenant une aggravation de son état psychique dès mars-avril 2015. Cette conclusion n’entre pas en contradiction avec le rapport d’enquête ménagère du 13 juin 2022, qui prend également en compte des empêchements de 80%, sans exigibilité, sur la base de l’expertise.![endif]&gt;![if&gt; Après avoir fixé la capacité à effectuer les travaux ménagers de la recourante à 20%, l’experte D______ a évoqué l’exigibilité de son époux et constaté qu’il était en charge de la quasi-totalité des tâches ménagères et de l’éducation des enfants, en sus de son travail, depuis 2014-2015. Il ne lui semblait pas admissible d’exiger de sa part une aide supérieure à celle qu’il apportait déjà dans les faits à l’assurée depuis 2015. L’experte n’a ainsi manifestement pas déduit des empêchements de la recourante la part des travaux ménagers exigible de son mari, qu’elle n’a d’ailleurs pas quantifiée, se contentant de dire qu’elle n’avait pas évolué depuis 2015. Il y a donc lieu de déduire du taux d’empêchements établi par l’experte, le taux d’exigibilité de l’époux déjà retenu précédemment, puisqu’il n’a pas changé. Dans ses rapports, le Dr C______ a pris en compte mais pas fixé le taux d’exigibilité du mari de la recourante, Le Dr B______ n’avait pas non plus fixé le taux d’exigibilité du mari de la recourante dans son rapport du 10 juin 2013. Il y a dès lors lieu de se référer au taux de 20% qui avait été déterminé lors de l’enquête économique sur le ménage du 31 mars 2014, en tenant compte du fait que l’époux de la recourante avait une activité indépendante et des charges familiales lourdes. Ce taux est plus favorable à la recourante que celui fixé dans la dernière enquête ménagère du 13 juin 2022 et inférieur à celui retenu généralement pour l’aide d’un époux valide. Il faut observer à ce stade que si, selon la jurisprudence, l’appréciation médicale a plus de poids que l’enquête à domicile pour évaluer la capacité d'accomplir les travaux habituels en cas d’atteinte psychique, puisqu’il s’agit d'apprécier l'ampleur de cette atteinte psychique et les empêchements en résultant, la situation est différente pour fixer l’exigibilité de la participation des proches aux travaux ménagers. En effet, cette question ne dépend d’une appréciation médicale, de sorte que l’enquête à domicile est plus probante à ce sujet. Il en résulte qu’il ne se justifie pas de donner suite à la demande de la recourante de faire compléter le rapport d’expertise sur la question de l’exigibilité de son époux. En conséquence, le taux global des empêchements, en tenant compte de l’exigibilité du mari de la recourante, est de 60% (80% moins 20%) depuis mars-avril 2015, et non de 50% comme l’a retenu l’intimé dans la décision querellée. Cela ouvre à la recourante le droit à un trois quarts de rente (art. 28 al. 2 LAI), dès le 1 er avril 2016, soit le premier jour du mois lors duquel elle demandé la révision de sa rente.</w:t>
      </w:r>
    </w:p>
    <w:p>
      <w:r>
        <w:rPr>
          <w:b/>
        </w:rPr>
        <w:t>E. 6</w:t>
      </w:r>
    </w:p>
    <w:p>
      <w:r>
        <w:t>Le recours sera ainsi partiellement admis, la décision querellée annulée et il sera dit que la recourante a droit à un trois quarts de rente d’invalidité dès le 1 er avril 2016.![endif]&gt;![if&gt; La recourante obtenant partiellement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