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A/3351/2010 vom 11. Januar 2011</w:t>
      </w:r>
    </w:p>
    <w:p>
      <w:r>
        <w:t>GE Cour de justice, 2011-01-11, FR</w:t>
      </w:r>
    </w:p>
    <w:p>
      <w:r>
        <w:rPr>
          <w:b/>
        </w:rPr>
        <w:t xml:space="preserve">Quelle: </w:t>
      </w:r>
      <w:r>
        <w:t>https://mcp.opencaselaw.ch/entscheid/ge_gerichte_A_3351_2010</w:t>
      </w:r>
    </w:p>
    <w:p>
      <w:r>
        <w:t>FR: GE_GERICHTE A/3351/2010 du 11 janvier 2011</w:t>
      </w:r>
    </w:p>
    <w:p>
      <w:r>
        <w:t>IT: GE_GERICHTE A/3351/2010 del 11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1er janvier 2011 sont reprises par la chambre administrative (art. 143 al. 5 LOJ). Cette dernière est ainsi compétente pour statuer. Le recours a été interjeté en temps utile devant la juridiction alors compétente (art. 132 al. 2 LOJ ; art. 63 al. 1 let. a de la loi sur la procédure administrative du 12 septembre 1985 - LPA - E 5 10).</w:t>
      </w:r>
    </w:p>
    <w:p>
      <w:r>
        <w:rPr>
          <w:b/>
        </w:rPr>
        <w:t>E. 2</w:t>
      </w:r>
    </w:p>
    <w:p>
      <w:r>
        <w:t>Quand bien même la décision attaquée, telle qu'elle a été notifiée à M. X______, comportait la voie de recours auprès du Tribunal administratif, soit de la chambre administrative, il convient d'examiner d'office si l'intéressé a la qualité pour recourir.</w:t>
      </w:r>
    </w:p>
    <w:p>
      <w:r>
        <w:rPr>
          <w:b/>
        </w:rPr>
        <w:t>E. 3</w:t>
      </w:r>
    </w:p>
    <w:p>
      <w:r>
        <w:t>Chacun peut attirer l'attention d'une autorité de surveillance sur un état de fait et lui demander de prendre une mesure (P. MOOR, Droit administratif, vol. II : Les actes administratifs et leur contrôle, Berne 1991, p. 339 infra) ;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102 Ib 84 -85 ; 100 Ib 452 ; 98 Ib 60 ; 84 I 86 ; RDAF 1964 p. 111 ; ATA/219/2001 du 27 mars 2001 ; ATA/165/1998 du 24 mars 1998 ; A. GRISEL, Pouvoir de surveillance et recours de droit administratif, ZBl 1973, pp. 54 et 57). a. Même si le dénonciateur a un certain droit à l'information, il n'a en revanche jamais la qualité de partie à la procédure et le refus de donner suite à une dénonciation ne peut faire l'objet d'un recours (ATF 120 Ib 351 consid. 5 p. 358-359 ; ATA/104/1998 du 4 mars 1998 ; P. MOOR, op. cit., p. 163 ; F. GYGI, Bundesverwaltungsrechtspflege, 1983, p. 221 n° 3). b. Selon la jurisprudence de la chambre de céans, notamment en matière de surveillance des avocats, des notaires et des personnes exerçant des professions de la santé, le dénonciateur n'a pas qualité de partie contre la décision d'une commission de surveillance ( ATA/219/2001 précité ainsi qu' ATA/43/2000 du 25 janvier 2000). Celui qui introduit une telle procédure n'a aucun droit à une décision, de sorte que, s'il n'y est pas donné suite, il n'est pas atteint dans ses intérêts personnels. Le fait que la décision de la commission peut avoir une incidence sur une procédure civile à laquelle le dénonciateur est partie ne permet pas de considérer que celui-ci est directement touché dans ses droits et obligations (SJ 1989 p. 412). Certes, la chambre administrative avait reconnu précédemment la qualité pour agir au dénonciateur qui avait subi un préjudice dans ses intérêts patrimoniaux (RDAF 1981 345 consid. 4 in fine p. 349). Elle s'est toutefois expressément distancée de cette décision isolée et n'entend pas y revenir, comme elle l'a affirmé à plusieurs reprises au cours de ces dernières années. c. Selon l'art. 56 LPAv, l'auteur d'une dénonciation est avisé de la suite qui a été donnée, mais il n'a pas accès au dossier et il ne lui est pas donné connaissance des considérants de la décision. Au vu de ce qui précède, le refus de donner suite à une dénonciation ne peut faire l'objet d'aucun recours, puisque le dénonciateur n'a agi que comme auxiliaire de l'autorité en déclenchant la procédure (ATF 135 II 145 consid. 6.1 p. 151 ; ATA/12/2007 du 16 janvier 2007 ; ATA/49/2002 du 22 janvier 2002).</w:t>
      </w:r>
    </w:p>
    <w:p>
      <w:r>
        <w:rPr>
          <w:b/>
        </w:rPr>
        <w:t>E. 4</w:t>
      </w:r>
    </w:p>
    <w:p>
      <w:r>
        <w:t>En conséquence, le recours sera déclaré irrecevable, sans autre instruction (art. 72 LPA). Vu l'issue du litige, aucun émolument ne sera mis à la charge de M. X______, qui s'est fié de bonne foi à la voie de droit indiquée. Il ne sera pas alloué d'indemnité de procédure à l'intimé, qui plaide en personne et n'a pas allégué avoir encouru de frais pour la présente cause (art. 87 LPA). * * * * * PAR CES MOTIFS LA CHAMBRE ADMINISTRATIVE déclare irrecevable le recours interjeté par Monsieur X______ le 4 octobre 2010 contre le dispositif de la décision de la commission du barreau du 13 septembre 2010 relative à Monsieur Y______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Monsieur Y______ ainsi qu'à la commission du barreau. Siégeants : Mme Bovy, présidente, Mme Hurni, M. Dumartheray, juges. Au nom de la chambre administrative : la greffière de juridiction : M. Tonossi la présidente siégeant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