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A/334/2005 vom 1. Februar 2006</w:t>
      </w:r>
    </w:p>
    <w:p>
      <w:r>
        <w:t>GE Cour de justice, 2006-02-01, FR</w:t>
      </w:r>
    </w:p>
    <w:p>
      <w:r>
        <w:rPr>
          <w:b/>
        </w:rPr>
        <w:t xml:space="preserve">Quelle: </w:t>
      </w:r>
      <w:r>
        <w:t>https://mcp.opencaselaw.ch/entscheid/ge_gerichte_A_334_2005</w:t>
      </w:r>
    </w:p>
    <w:p>
      <w:r>
        <w:t>FR: GE_GERICHTE A/334/2005 du 1 février 2006</w:t>
      </w:r>
    </w:p>
    <w:p>
      <w:r>
        <w:t>IT: GE_GERICHTE A/334/2005 del 1 febbraio 2006</w:t>
      </w:r>
    </w:p>
    <w:p>
      <w:pPr>
        <w:pStyle w:val="Heading2"/>
      </w:pPr>
      <w:r>
        <w:t>Erwägungen</w:t>
      </w:r>
    </w:p>
    <w:p>
      <w:r>
        <w:rPr>
          <w:b/>
        </w:rPr>
        <w:t>E. 11</w:t>
      </w:r>
    </w:p>
    <w:p>
      <w:r>
        <w:t>Il convient de calculer le degré d’invalidité de la recourante en comparant le revenu annuel sans handicap avec celui réalisé après l’atteinte à la santé, dans chaque champ d’activité, compte tenu du salaire usuel de référence dans la branche. A défaut de pouvoir disposer de renseignements concrets fiables sur le revenu qu'aurait pu réaliser la recourante, sans invalidité, au moment de la décision administrative litigieuse, il convient de se référer aux données salariales ressortant de l'Enquête suisse sur la structure des salaires, publiées par l'Office fédéral de la statistique (ci-après ESS; cf. ATF 126 V 76 consid. 3b/bb; ATFA du 13 janvier 2005 I 137 /04). Est déterminant le revenu annuel que pourrait réaliser la recourante sans invalidité en 1999, année d’ouverture du droit éventuel à une rente (ATF 129 V 222 ). Pour le champ d'activité de direction, l’intimé a retenu le salaire que peuvent réaliser les femmes dans le secrétariat et les travaux de chancellerie nécessitant des connaissances professionnelles spécialisées, soit en 1998, un revenu mensuel brut de 5’075 fr. (cf. Tables ESS 1998, TA7, chiffre 22, niveau 3, valeur médiane, p. 33). Adapté au niveau des salaires pour l'année 1999 selon l'évolution des salaires nominaux, des prix à la consommation et des salaires réels, le revenu mensuel s'élève à 5'090 fr. ou 61'080fr. par année (indice 1938, La Vie économique no. 11/2004, tableau T1, p. 87). Le gain annuel sans invalidité pour cette activité de direction, soit 15 %, s’élève à 9'162 fr. Etant donné l’absence d’empêchements dans cette activité, il n’y a pas de perte de gain dans ce champ d’activité. Concernant les activités d’achats, de nettoyage et de mise en place, l’on peut retenir, ainsi que l’a fait l’intimé, le salaire que peuvent réaliser les femmes dans les travaux de nettoyage et hygiène publique, activités simples et répétitives, soit en 1998, un revenu mensuel de 3'467 fr. (Tables ESS 1998, chiffre 35, niveau 4, valeur médiane, p. 33). Réactualisé à 1999, le salaire s’élève à 3'477 fr. par mois, ou 41'724 fr. par an. L’activité d’achats représente 5 % du total des activités, soit un revenu sans invalidité de 2'086 fr. par an ; compte tenu d’empêchements de 100 %, la perte de gain dans ce champ d’activité est de 2'086 fr. par an. Quant au champ d’activité de nettoyage et de mise en place, il représente 35 % du total des activités, soit un revenu sans invalidité de 14'603 fr . par an ; compte tenu d’empêchements à hauteur de 60 %, la perte de gain dans ce champ d’activité s’élève à 8'762 fr. par année. S’agissant enfin de l’activité de vente, c’est à juste titre que l’intimé s’est fondé sur les salaires que peuvent réaliser les femmes dans des activités nécessitant des connaissances professionnelles particulières dans la vente de biens de consommation, vente au détail, soit un revenu mensuel de 3'647 fr. en 1998 (Tables ESS 1998, chiffre 27, niveau 3, valeur médiane, p. 33). Ce revenu doit être réactualisé à 1999, soit 3'658 fr. par mois, ou 43'896 fr. par an. La vente représentant 45 % du total des activités, le revenu annuel sans invalidité s’élève à 19'753 fr. Compte tenu d’empêchements de 20 %, la perte de gain annuelle est de 3'951 fr . pour cette activité. Il résulte de ce qui précède que le revenu annuel sans invalidité se monte à 45'604 fr. ( 9'162 + 2'086 + 14'603 + 19'753 ). Le total des pertes de gain s’élève à 14'799 fr. par année ( 2'086 + 8'762 + 3'951 ), de sorte que le revenu d'invalide est de 30'805 fr. (45'604 - 14'799). En comparant le revenu d’invalide de 30'805 fr. au revenu annuel sans invalidité de 45’604 fr. , le degré d’invalidité s’élève à 32,45 %, insuffisant pour ouvrir droit à une rente. Le Tribunal de céans constate que la façon dont l'intimé a procédé au calcul de l'invalidité de la recourante, selon la méthode extraordinaire, est tout à fait correcte et qu'hormis quelques minimes différences de chiffres, il ne souffre d'aucune critique. Mal fondé, le recours doit être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